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media/image2.png" ContentType="image/png"/>
  <Override PartName="/word/fontTable.xml" ContentType="application/vnd.openxmlformats-officedocument.wordprocessingml.fontTable+xml"/>
  <Override PartName="/word/charts/chart1.xml" ContentType="application/vnd.openxmlformats-officedocument.drawingml.chart+xml"/>
  <Override PartName="/word/charts/chart2.xml" ContentType="application/vnd.openxmlformats-officedocument.drawingml.chart+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rFonts w:ascii="Calibri" w:hAnsi="Calibri"/>
          <w:b/>
          <w:bCs/>
          <w:sz w:val="28"/>
          <w:szCs w:val="28"/>
        </w:rPr>
        <mc:AlternateContent>
          <mc:Choice Requires="wpg">
            <w:drawing>
              <wp:inline distT="0" distB="0" distL="0" distR="0" wp14:anchorId="235E5ABF">
                <wp:extent cx="4136390" cy="1517015"/>
                <wp:effectExtent l="0" t="0" r="0" b="0"/>
                <wp:docPr id="1" name=""/>
                <a:graphic xmlns:a="http://schemas.openxmlformats.org/drawingml/2006/main">
                  <a:graphicData uri="http://schemas.microsoft.com/office/word/2010/wordprocessingGroup">
                    <wpg:wgp>
                      <wpg:cNvGrpSpPr/>
                      <wpg:grpSpPr>
                        <a:xfrm>
                          <a:off x="0" y="0"/>
                          <a:ext cx="4135680" cy="1516320"/>
                        </a:xfrm>
                      </wpg:grpSpPr>
                      <wps:wsp>
                        <wps:cNvSpPr/>
                        <wps:spPr>
                          <a:xfrm>
                            <a:off x="0" y="0"/>
                            <a:ext cx="4135680" cy="1516320"/>
                          </a:xfrm>
                          <a:prstGeom prst="rect">
                            <a:avLst/>
                          </a:prstGeom>
                          <a:solidFill>
                            <a:srgbClr val="ffffff"/>
                          </a:solidFill>
                          <a:ln>
                            <a:noFill/>
                          </a:ln>
                        </wps:spPr>
                        <wps:style>
                          <a:lnRef idx="0"/>
                          <a:fillRef idx="0"/>
                          <a:effectRef idx="0"/>
                          <a:fontRef idx="minor"/>
                        </wps:style>
                        <wps:bodyPr/>
                      </wps:wsp>
                      <pic:pic xmlns:pic="http://schemas.openxmlformats.org/drawingml/2006/picture">
                        <pic:nvPicPr>
                          <pic:cNvPr id="0" name="image1.jpeg" descr=""/>
                          <pic:cNvPicPr/>
                        </pic:nvPicPr>
                        <pic:blipFill>
                          <a:blip r:embed="rId2"/>
                          <a:stretch/>
                        </pic:blipFill>
                        <pic:spPr>
                          <a:xfrm>
                            <a:off x="0" y="0"/>
                            <a:ext cx="4135680" cy="1516320"/>
                          </a:xfrm>
                          <a:prstGeom prst="rect">
                            <a:avLst/>
                          </a:prstGeom>
                          <a:ln>
                            <a:noFill/>
                          </a:ln>
                        </pic:spPr>
                      </pic:pic>
                    </wpg:wgp>
                  </a:graphicData>
                </a:graphic>
              </wp:inline>
            </w:drawing>
          </mc:Choice>
          <mc:Fallback>
            <w:pict>
              <v:group id="shape_0" style="position:absolute;margin-left:0pt;margin-top:0pt;width:325.65pt;height:119.4pt" coordorigin="0,0" coordsize="6513,2388">
                <v:rect id="shape_0" fillcolor="white" stroked="f" style="position:absolute;left:0;top:0;width:6512;height:2387">
                  <w10:wrap type="none"/>
                  <v:fill o:detectmouseclick="t" type="solid" color2="black"/>
                  <v:stroke color="#3465a4" joinstyle="round" endcap="flat"/>
                </v:rect>
                <v:rect id="shape_0" ID="image1.jpeg" stroked="f" style="position:absolute;left:0;top:0;width:6512;height:2387">
                  <v:imagedata r:id="rId2" o:detectmouseclick="t"/>
                  <w10:wrap type="none"/>
                  <v:stroke color="#3465a4" joinstyle="round" endcap="flat"/>
                </v:rect>
              </v:group>
            </w:pict>
          </mc:Fallback>
        </mc:AlternateContent>
      </w:r>
    </w:p>
    <w:p>
      <w:pPr>
        <w:pStyle w:val="Normal"/>
        <w:jc w:val="center"/>
        <w:rPr>
          <w:rFonts w:ascii="Calibri" w:hAnsi="Calibri"/>
          <w:b/>
          <w:b/>
          <w:bCs/>
        </w:rPr>
      </w:pPr>
      <w:r>
        <w:rPr>
          <w:sz w:val="28"/>
          <w:szCs w:val="28"/>
        </w:rPr>
      </w:r>
    </w:p>
    <w:p>
      <w:pPr>
        <w:pStyle w:val="Normal"/>
        <w:jc w:val="center"/>
        <w:rPr>
          <w:rFonts w:ascii="Calibri" w:hAnsi="Calibri"/>
          <w:b/>
          <w:b/>
          <w:bCs/>
        </w:rPr>
      </w:pPr>
      <w:r>
        <w:rPr>
          <w:sz w:val="28"/>
          <w:szCs w:val="28"/>
        </w:rPr>
      </w:r>
    </w:p>
    <w:p>
      <w:pPr>
        <w:pStyle w:val="Normal"/>
        <w:jc w:val="center"/>
        <w:rPr>
          <w:rFonts w:ascii="Calibri" w:hAnsi="Calibri"/>
          <w:b/>
          <w:b/>
          <w:bCs/>
        </w:rPr>
      </w:pPr>
      <w:r>
        <w:rPr>
          <w:sz w:val="28"/>
          <w:szCs w:val="28"/>
        </w:rPr>
      </w:r>
    </w:p>
    <w:p>
      <w:pPr>
        <w:pStyle w:val="Normal"/>
        <w:jc w:val="center"/>
        <w:rPr>
          <w:sz w:val="28"/>
          <w:szCs w:val="28"/>
        </w:rPr>
      </w:pPr>
      <w:r>
        <w:rPr>
          <w:rFonts w:ascii="Calibri" w:hAnsi="Calibri"/>
          <w:b/>
          <w:bCs/>
          <w:sz w:val="28"/>
          <w:szCs w:val="28"/>
        </w:rPr>
        <w:t>NOTA STAMPA</w:t>
      </w:r>
    </w:p>
    <w:p>
      <w:pPr>
        <w:pStyle w:val="Normal"/>
        <w:jc w:val="center"/>
        <w:rPr>
          <w:rFonts w:ascii="Calibri" w:hAnsi="Calibri"/>
          <w:b/>
          <w:b/>
          <w:bCs/>
        </w:rPr>
      </w:pPr>
      <w:r>
        <w:rPr>
          <w:sz w:val="28"/>
          <w:szCs w:val="28"/>
        </w:rPr>
      </w:r>
    </w:p>
    <w:p>
      <w:pPr>
        <w:pStyle w:val="Normal"/>
        <w:jc w:val="center"/>
        <w:rPr>
          <w:sz w:val="28"/>
          <w:szCs w:val="28"/>
        </w:rPr>
      </w:pPr>
      <w:r>
        <w:rPr>
          <w:rFonts w:ascii="Calibri" w:hAnsi="Calibri"/>
          <w:b/>
          <w:bCs/>
          <w:sz w:val="28"/>
          <w:szCs w:val="28"/>
        </w:rPr>
        <w:t>I NUMERI DEL SUPERBONUS</w:t>
      </w:r>
    </w:p>
    <w:p>
      <w:pPr>
        <w:pStyle w:val="Normal"/>
        <w:jc w:val="both"/>
        <w:rPr>
          <w:rFonts w:ascii="Calibri" w:hAnsi="Calibri"/>
          <w:b/>
          <w:b/>
          <w:bCs/>
          <w:sz w:val="24"/>
          <w:szCs w:val="24"/>
        </w:rPr>
      </w:pPr>
      <w:r>
        <w:rPr/>
      </w:r>
    </w:p>
    <w:p>
      <w:pPr>
        <w:pStyle w:val="Normal"/>
        <w:jc w:val="center"/>
        <w:rPr/>
      </w:pPr>
      <w:r>
        <w:rPr>
          <w:rFonts w:ascii="Calibri" w:hAnsi="Calibri"/>
          <w:b/>
          <w:bCs/>
          <w:sz w:val="24"/>
          <w:szCs w:val="24"/>
        </w:rPr>
        <w:t>Elaborazioni e dati a cura del Centro Studi del CNI</w:t>
      </w:r>
    </w:p>
    <w:p>
      <w:pPr>
        <w:pStyle w:val="Normal"/>
        <w:jc w:val="both"/>
        <w:rPr>
          <w:rFonts w:ascii="Calibri" w:hAnsi="Calibri"/>
          <w:b/>
          <w:b/>
          <w:bCs/>
          <w:sz w:val="24"/>
          <w:szCs w:val="24"/>
        </w:rPr>
      </w:pPr>
      <w:r>
        <w:rPr/>
      </w:r>
    </w:p>
    <w:p>
      <w:pPr>
        <w:pStyle w:val="Normal"/>
        <w:jc w:val="both"/>
        <w:rPr>
          <w:rFonts w:ascii="Calibri" w:hAnsi="Calibri"/>
          <w:b/>
          <w:b/>
          <w:bCs/>
          <w:sz w:val="24"/>
          <w:szCs w:val="24"/>
        </w:rPr>
      </w:pPr>
      <w:r>
        <w:rPr/>
      </w:r>
    </w:p>
    <w:p>
      <w:pPr>
        <w:pStyle w:val="Normal"/>
        <w:jc w:val="both"/>
        <w:rPr>
          <w:rFonts w:ascii="Calibri" w:hAnsi="Calibri"/>
          <w:b/>
          <w:b/>
          <w:bCs/>
          <w:sz w:val="24"/>
          <w:szCs w:val="24"/>
        </w:rPr>
      </w:pPr>
      <w:r>
        <w:rPr/>
      </w:r>
    </w:p>
    <w:p>
      <w:pPr>
        <w:pStyle w:val="Normal"/>
        <w:jc w:val="both"/>
        <w:rPr>
          <w:rFonts w:ascii="Calibri" w:hAnsi="Calibri"/>
          <w:sz w:val="24"/>
          <w:szCs w:val="24"/>
        </w:rPr>
      </w:pPr>
      <w:r>
        <w:rPr>
          <w:rFonts w:ascii="Calibri" w:hAnsi="Calibri"/>
          <w:b/>
          <w:bCs/>
          <w:sz w:val="24"/>
          <w:szCs w:val="24"/>
        </w:rPr>
        <w:t>L’”effetto Superbonus” tra elementi di forza e criticità</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Il Superbonus occupa da mesi una parte rilevante del dibattito economico e politico del Paese. Come premessa vanno precisate alcune cose. </w:t>
      </w:r>
      <w:r>
        <w:rPr>
          <w:rFonts w:ascii="Calibri" w:hAnsi="Calibri"/>
          <w:b/>
          <w:bCs/>
          <w:sz w:val="24"/>
          <w:szCs w:val="24"/>
        </w:rPr>
        <w:t>Il Consiglio Nazionale degli Ingegneri è convinto della necessità assoluta di rimodulare radicalmente i meccanismi di funzionamento di tali incentivi. In particolare, è necessario che la percentuale della detrazione venga abbassata rispetto al 110%</w:t>
      </w:r>
      <w:r>
        <w:rPr>
          <w:rFonts w:ascii="Calibri" w:hAnsi="Calibri"/>
          <w:sz w:val="24"/>
          <w:szCs w:val="24"/>
        </w:rPr>
        <w:t xml:space="preserve">, che una parte delle spese venga sostenuta dai proprietari di immobili, che tali spese (difficili da affrontare per la maggior parte delle famiglie) possano essere finanziate con un mutuo a tasso agevolato garantito dallo Stato.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Inoltre, occorre prendere coscienza che la Direttiva europea EPBD (direttiva sul risanamento energetico degli edifici in Europa), ancora in fase di discussione, imporrà il doppio salto di classe energetica a milioni di abitazioni in un arco temporale molto breve. </w:t>
      </w:r>
      <w:r>
        <w:rPr>
          <w:rFonts w:ascii="Calibri" w:hAnsi="Calibri"/>
          <w:b/>
          <w:bCs/>
          <w:sz w:val="24"/>
          <w:szCs w:val="24"/>
        </w:rPr>
        <w:t>Stime effettuate dal Centro Studi CNI</w:t>
      </w:r>
      <w:r>
        <w:rPr>
          <w:rFonts w:ascii="Calibri" w:hAnsi="Calibri"/>
          <w:sz w:val="24"/>
          <w:szCs w:val="24"/>
        </w:rPr>
        <w:t xml:space="preserve">, tenendo conto del censimento Istat sulle abitazioni, portano a ritenere che </w:t>
      </w:r>
      <w:r>
        <w:rPr>
          <w:rFonts w:ascii="Calibri" w:hAnsi="Calibri"/>
          <w:b/>
          <w:bCs/>
          <w:sz w:val="24"/>
          <w:szCs w:val="24"/>
        </w:rPr>
        <w:t>entro il 2033 dovrebbero passare dalle classi più energivore (G,F ed E) alla classe D, 13,4 milioni di alloggi</w:t>
      </w:r>
      <w:r>
        <w:rPr>
          <w:rFonts w:ascii="Calibri" w:hAnsi="Calibri"/>
          <w:sz w:val="24"/>
          <w:szCs w:val="24"/>
        </w:rPr>
        <w:t xml:space="preserve"> occupati da residenti (sono escluse le così dette case vacanza). Secondo altre stime dovrebbero essere sottoposte a risanamento energetico entro il 2033 più di 9 milione di edifici.</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b/>
          <w:bCs/>
          <w:sz w:val="24"/>
          <w:szCs w:val="24"/>
        </w:rPr>
        <w:t>E’ impensabile realizzare un piano così ambizioso immaginando che i singoli proprietari degli immobili possano affrontare per intero le spese di ristrutturazione e, d’altra parte, è impossibile pensare che lo Stato possa sostenere per intero un volume di spesa così ingente. Occorre trovare un meccanismo più adeguato, equilibrato ed efficace rispetto a quelli utilizzati finora.</w:t>
      </w:r>
      <w:r>
        <w:rPr>
          <w:rFonts w:ascii="Calibri" w:hAnsi="Calibri"/>
          <w:sz w:val="24"/>
          <w:szCs w:val="24"/>
        </w:rPr>
        <w:t xml:space="preserve">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Ad oggi, però, il Governo non ha definito neanche una prima ipotesi di piano di fattibilità che possa consentire al Paese di rispettare gli obblighi previsti in ambito europeo. E’ possibile, per contro, constare che negli ultimi mesi il Governo ha in vario modo contestato l’efficacia dei Superbonus, sottolineando la gravità e l’ampiezza del disavanzo di bilancio da essi generato. Infine, tutti ragionano su stime dell’ampiezza del patrimonio immobiliare da sottoporre ad interventi di ristrutturazione energetica profonda, senza che il Governo abbia indicato un dato puntuale.</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b/>
          <w:bCs/>
          <w:sz w:val="24"/>
          <w:szCs w:val="24"/>
        </w:rPr>
        <w:t>Detto questo, vediamo i numeri</w:t>
      </w:r>
      <w:r>
        <w:rPr>
          <w:rFonts w:ascii="Calibri" w:hAnsi="Calibri"/>
          <w:sz w:val="24"/>
          <w:szCs w:val="24"/>
        </w:rPr>
        <w:t>. I Superbonus per l’edilizia (con detrazioni fiscali inizialmente pari al 110% della spesa poi successivamente ridimensionati) hanno trovato largo impiego nel nostro paese e molto favore presso i proprietari di immobili. Dal momento della loro istituzione ad agosto 2023:</w:t>
      </w:r>
    </w:p>
    <w:p>
      <w:pPr>
        <w:pStyle w:val="ListParagraph"/>
        <w:numPr>
          <w:ilvl w:val="0"/>
          <w:numId w:val="1"/>
        </w:numPr>
        <w:spacing w:before="120" w:after="160"/>
        <w:ind w:left="414" w:hanging="357"/>
        <w:contextualSpacing/>
        <w:jc w:val="both"/>
        <w:rPr>
          <w:rFonts w:ascii="Calibri" w:hAnsi="Calibri"/>
          <w:sz w:val="24"/>
          <w:szCs w:val="24"/>
        </w:rPr>
      </w:pPr>
      <w:r>
        <w:rPr>
          <w:rFonts w:ascii="Calibri" w:hAnsi="Calibri"/>
          <w:b/>
          <w:bCs/>
          <w:sz w:val="24"/>
          <w:szCs w:val="24"/>
        </w:rPr>
        <w:t>la spesa per opere con Super ecobonus ammonta a 86,3 miliardi di euro, dei quali ammessi a detrazione 85 miliardi di euro</w:t>
      </w:r>
      <w:r>
        <w:rPr>
          <w:rFonts w:ascii="Calibri" w:hAnsi="Calibri"/>
          <w:sz w:val="24"/>
          <w:szCs w:val="24"/>
        </w:rPr>
        <w:t xml:space="preserve">. </w:t>
      </w:r>
      <w:r>
        <w:rPr>
          <w:rFonts w:ascii="Calibri" w:hAnsi="Calibri"/>
          <w:b/>
          <w:bCs/>
          <w:sz w:val="24"/>
          <w:szCs w:val="24"/>
        </w:rPr>
        <w:t>Gli edifici che hanno beneficiato</w:t>
      </w:r>
      <w:r>
        <w:rPr>
          <w:rFonts w:ascii="Calibri" w:hAnsi="Calibri"/>
          <w:sz w:val="24"/>
          <w:szCs w:val="24"/>
        </w:rPr>
        <w:t xml:space="preserve"> di interventi finalizzati al risparmio energetico </w:t>
      </w:r>
      <w:r>
        <w:rPr>
          <w:rFonts w:ascii="Calibri" w:hAnsi="Calibri"/>
          <w:b/>
          <w:bCs/>
          <w:sz w:val="24"/>
          <w:szCs w:val="24"/>
        </w:rPr>
        <w:t>sono 425.351</w:t>
      </w:r>
      <w:r>
        <w:rPr>
          <w:rFonts w:ascii="Calibri" w:hAnsi="Calibri"/>
          <w:sz w:val="24"/>
          <w:szCs w:val="24"/>
        </w:rPr>
        <w:t>. La quota più consistente di spesa, pari al 55,2% riguarda gli edifici in condominio, mentre il 31,8% riguarda gli edifici unifamiliari ed il 13,1% le unità locali funzionalmente indipendenti;</w:t>
      </w:r>
    </w:p>
    <w:p>
      <w:pPr>
        <w:pStyle w:val="ListParagraph"/>
        <w:numPr>
          <w:ilvl w:val="0"/>
          <w:numId w:val="1"/>
        </w:numPr>
        <w:spacing w:before="120" w:after="160"/>
        <w:ind w:left="414" w:hanging="357"/>
        <w:contextualSpacing/>
        <w:jc w:val="both"/>
        <w:rPr>
          <w:rFonts w:ascii="Calibri" w:hAnsi="Calibri"/>
          <w:sz w:val="24"/>
          <w:szCs w:val="24"/>
        </w:rPr>
      </w:pPr>
      <w:r>
        <w:rPr>
          <w:rFonts w:ascii="Calibri" w:hAnsi="Calibri"/>
          <w:b/>
          <w:bCs/>
          <w:sz w:val="24"/>
          <w:szCs w:val="24"/>
        </w:rPr>
        <w:t>la spesa per Super sismabonus si attesta su livelli più contenuti</w:t>
      </w:r>
      <w:r>
        <w:rPr>
          <w:rFonts w:ascii="Calibri" w:hAnsi="Calibri"/>
          <w:sz w:val="24"/>
          <w:szCs w:val="24"/>
        </w:rPr>
        <w:t>, ma comunque apprezzabili, rispetto a quelli che caratterizzano il Super ecobonus. Non sono disponibili dati di monitoraggio</w:t>
      </w:r>
      <w:r>
        <w:rPr>
          <w:rStyle w:val="Richiamoallanotaapidipagina"/>
          <w:rFonts w:ascii="Calibri" w:hAnsi="Calibri"/>
          <w:sz w:val="24"/>
          <w:szCs w:val="24"/>
        </w:rPr>
        <w:footnoteReference w:id="2"/>
      </w:r>
      <w:r>
        <w:rPr>
          <w:rFonts w:ascii="Calibri" w:hAnsi="Calibri"/>
          <w:sz w:val="24"/>
          <w:szCs w:val="24"/>
        </w:rPr>
        <w:t xml:space="preserve">, regolarmente pubblicati, sulla spesa per Super sismabonus. Da alcuni dati parziali diffusi dalla Agenzia delle Entrate, </w:t>
      </w:r>
      <w:r>
        <w:rPr>
          <w:rFonts w:ascii="Calibri" w:hAnsi="Calibri"/>
          <w:b/>
          <w:bCs/>
          <w:sz w:val="24"/>
          <w:szCs w:val="24"/>
        </w:rPr>
        <w:t>il Centro Studi stima che al 31 agosto 2023 l’ammontare complessivo possa essere pari a 25 miliardi di euro</w:t>
      </w:r>
      <w:r>
        <w:rPr>
          <w:rFonts w:ascii="Calibri" w:hAnsi="Calibri"/>
          <w:sz w:val="24"/>
          <w:szCs w:val="24"/>
        </w:rPr>
        <w:t>.</w:t>
      </w:r>
    </w:p>
    <w:p>
      <w:pPr>
        <w:pStyle w:val="Normal"/>
        <w:jc w:val="both"/>
        <w:rPr>
          <w:rFonts w:ascii="Calibri" w:hAnsi="Calibri"/>
          <w:sz w:val="24"/>
          <w:szCs w:val="24"/>
        </w:rPr>
      </w:pPr>
      <w:r>
        <w:rPr/>
        <w:drawing>
          <wp:inline distT="0" distB="0" distL="0" distR="0">
            <wp:extent cx="5398770" cy="294449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ascii="Calibri" w:hAnsi="Calibri"/>
          <w:sz w:val="24"/>
          <w:szCs w:val="24"/>
        </w:rPr>
        <w:t xml:space="preserve">  </w:t>
      </w:r>
    </w:p>
    <w:p>
      <w:pPr>
        <w:pStyle w:val="Normal"/>
        <w:jc w:val="both"/>
        <w:rPr>
          <w:rFonts w:ascii="Calibri" w:hAnsi="Calibri"/>
          <w:sz w:val="24"/>
          <w:szCs w:val="24"/>
        </w:rPr>
      </w:pPr>
      <w:r>
        <w:rPr>
          <w:rFonts w:ascii="Calibri" w:hAnsi="Calibri"/>
          <w:sz w:val="24"/>
          <w:szCs w:val="24"/>
        </w:rPr>
        <w:t>Fonte: elaborazione Centro Studi CNI su dati Enea e Agenzia delle Entrate</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E’ sufficiente osservare il trend seguito dagli investimenti per Super ecobonus, dal 2020 ad oggi, per capire che </w:t>
      </w:r>
      <w:r>
        <w:rPr>
          <w:rFonts w:ascii="Calibri" w:hAnsi="Calibri"/>
          <w:b/>
          <w:bCs/>
          <w:sz w:val="24"/>
          <w:szCs w:val="24"/>
        </w:rPr>
        <w:t>difficilmente questo tipo di misura non ha generato effetti espansivi</w:t>
      </w:r>
      <w:r>
        <w:rPr>
          <w:rFonts w:ascii="Calibri" w:hAnsi="Calibri"/>
          <w:sz w:val="24"/>
          <w:szCs w:val="24"/>
        </w:rPr>
        <w:t xml:space="preserve"> </w:t>
      </w:r>
      <w:r>
        <w:rPr>
          <w:rFonts w:ascii="Calibri" w:hAnsi="Calibri"/>
          <w:b/>
          <w:bCs/>
          <w:sz w:val="24"/>
          <w:szCs w:val="24"/>
        </w:rPr>
        <w:t>in termini di produzione, reddito e occupazione</w:t>
      </w:r>
      <w:r>
        <w:rPr>
          <w:rFonts w:ascii="Calibri" w:hAnsi="Calibri"/>
          <w:sz w:val="24"/>
          <w:szCs w:val="24"/>
        </w:rPr>
        <w:t xml:space="preserve">, se non altro per l’entità delle risorse finanziarie immesse nel circuito economico. </w:t>
      </w:r>
      <w:r>
        <w:rPr>
          <w:rFonts w:ascii="Calibri" w:hAnsi="Calibri"/>
          <w:b/>
          <w:bCs/>
          <w:sz w:val="24"/>
          <w:szCs w:val="24"/>
        </w:rPr>
        <w:t>Tra agosto 2020 ed agosto 2023 gli investimenti attivati dal solo Super ecobonus ammontano ad 86 miliardi di euro e solo una minima parte di tale spesa è oggi sottoposta ad indagini e sequestri cautelativi da parte della Guardia di Finanza per presunte frodi.</w:t>
      </w:r>
    </w:p>
    <w:p>
      <w:pPr>
        <w:pStyle w:val="Normal"/>
        <w:jc w:val="both"/>
        <w:rPr>
          <w:b/>
          <w:b/>
          <w:bCs/>
        </w:rPr>
      </w:pPr>
      <w:r>
        <w:rPr>
          <w:b/>
          <w:bCs/>
        </w:rPr>
      </w:r>
    </w:p>
    <w:p>
      <w:pPr>
        <w:pStyle w:val="Normal"/>
        <w:jc w:val="both"/>
        <w:rPr>
          <w:rFonts w:ascii="Calibri" w:hAnsi="Calibri"/>
          <w:sz w:val="24"/>
          <w:szCs w:val="24"/>
        </w:rPr>
      </w:pPr>
      <w:r>
        <w:rPr/>
        <w:drawing>
          <wp:inline distT="0" distB="0" distL="0" distR="0">
            <wp:extent cx="6120765" cy="339407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4"/>
                    <a:stretch>
                      <a:fillRect/>
                    </a:stretch>
                  </pic:blipFill>
                  <pic:spPr bwMode="auto">
                    <a:xfrm>
                      <a:off x="0" y="0"/>
                      <a:ext cx="6120765" cy="3394075"/>
                    </a:xfrm>
                    <a:prstGeom prst="rect">
                      <a:avLst/>
                    </a:prstGeom>
                  </pic:spPr>
                </pic:pic>
              </a:graphicData>
            </a:graphic>
          </wp:inline>
        </w:drawing>
      </w:r>
    </w:p>
    <w:p>
      <w:pPr>
        <w:pStyle w:val="Normal"/>
        <w:jc w:val="both"/>
        <w:rPr>
          <w:rFonts w:ascii="Calibri" w:hAnsi="Calibri"/>
          <w:sz w:val="24"/>
          <w:szCs w:val="24"/>
        </w:rPr>
      </w:pPr>
      <w:r>
        <w:rPr>
          <w:rFonts w:ascii="Calibri" w:hAnsi="Calibri"/>
          <w:sz w:val="24"/>
          <w:szCs w:val="24"/>
        </w:rPr>
        <w:t>Fonte: elaborazione Centro Studi CNI su dati Enea</w:t>
      </w:r>
    </w:p>
    <w:p>
      <w:pPr>
        <w:pStyle w:val="Normal"/>
        <w:jc w:val="both"/>
        <w:rPr>
          <w:rFonts w:ascii="Calibri" w:hAnsi="Calibri"/>
          <w:sz w:val="24"/>
          <w:szCs w:val="24"/>
        </w:rPr>
      </w:pPr>
      <w:r>
        <w:rPr>
          <w:rFonts w:ascii="Calibri" w:hAnsi="Calibri"/>
          <w:sz w:val="24"/>
          <w:szCs w:val="24"/>
        </w:rPr>
        <w:t xml:space="preserve">Il 2022 probabilmente sarà l’anno di massima “espansione” dei Superbonus (è anche l’ultimo anno in cui il livello di detrazione era al 110%, mentre nel 2023 le nuove opere godono di una detrazione al 90%). </w:t>
      </w:r>
      <w:r>
        <w:rPr>
          <w:rFonts w:ascii="Calibri" w:hAnsi="Calibri"/>
          <w:b/>
          <w:bCs/>
          <w:sz w:val="24"/>
          <w:szCs w:val="24"/>
        </w:rPr>
        <w:t>Nel 2022 la spesa per Super ecobonus è stata di 46,2 miliardi</w:t>
      </w:r>
      <w:r>
        <w:rPr>
          <w:rFonts w:ascii="Calibri" w:hAnsi="Calibri"/>
          <w:sz w:val="24"/>
          <w:szCs w:val="24"/>
        </w:rPr>
        <w:t xml:space="preserve">, mentre </w:t>
      </w:r>
      <w:r>
        <w:rPr>
          <w:rFonts w:ascii="Calibri" w:hAnsi="Calibri"/>
          <w:b/>
          <w:bCs/>
          <w:sz w:val="24"/>
          <w:szCs w:val="24"/>
        </w:rPr>
        <w:t>per il Super sismabonus</w:t>
      </w:r>
      <w:r>
        <w:rPr>
          <w:rFonts w:ascii="Calibri" w:hAnsi="Calibri"/>
          <w:sz w:val="24"/>
          <w:szCs w:val="24"/>
        </w:rPr>
        <w:t xml:space="preserve"> non disponendo di dati completi, stimiamo che la spesa possa essere stata </w:t>
      </w:r>
      <w:r>
        <w:rPr>
          <w:rFonts w:ascii="Calibri" w:hAnsi="Calibri"/>
          <w:b/>
          <w:bCs/>
          <w:sz w:val="24"/>
          <w:szCs w:val="24"/>
        </w:rPr>
        <w:t>pari a 12,6 miliardi di euro</w:t>
      </w:r>
      <w:r>
        <w:rPr>
          <w:rFonts w:ascii="Calibri" w:hAnsi="Calibri"/>
          <w:sz w:val="24"/>
          <w:szCs w:val="24"/>
        </w:rPr>
        <w:t xml:space="preserve">. Si tratta dunque di una </w:t>
      </w:r>
      <w:r>
        <w:rPr>
          <w:rFonts w:ascii="Calibri" w:hAnsi="Calibri"/>
          <w:b/>
          <w:bCs/>
          <w:sz w:val="24"/>
          <w:szCs w:val="24"/>
        </w:rPr>
        <w:t>spesa complessiva a carico dello Stato pari a 58,8 miliardi di euro</w:t>
      </w:r>
      <w:r>
        <w:rPr>
          <w:rFonts w:ascii="Calibri" w:hAnsi="Calibri"/>
          <w:sz w:val="24"/>
          <w:szCs w:val="24"/>
        </w:rPr>
        <w:t xml:space="preserve"> che ha attivato risorse come di seguito riportato:</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tbl>
      <w:tblPr>
        <w:tblStyle w:val="Tabellaelenco5scura-colore6"/>
        <w:tblW w:w="9326" w:type="dxa"/>
        <w:jc w:val="left"/>
        <w:tblInd w:w="0" w:type="dxa"/>
        <w:tblBorders>
          <w:bottom w:val="single" w:sz="18" w:space="0" w:color="FFFFFF"/>
          <w:insideH w:val="single" w:sz="18" w:space="0" w:color="FFFFFF"/>
        </w:tblBorders>
        <w:tblCellMar>
          <w:top w:w="0" w:type="dxa"/>
          <w:left w:w="78" w:type="dxa"/>
          <w:bottom w:w="0" w:type="dxa"/>
          <w:right w:w="108" w:type="dxa"/>
        </w:tblCellMar>
        <w:tblLook w:firstRow="1" w:noVBand="1" w:lastRow="0" w:firstColumn="1" w:lastColumn="0" w:noHBand="0" w:val="04a0"/>
      </w:tblPr>
      <w:tblGrid>
        <w:gridCol w:w="4394"/>
        <w:gridCol w:w="2409"/>
        <w:gridCol w:w="2523"/>
      </w:tblGrid>
      <w:tr>
        <w:trPr>
          <w:trHeight w:val="290" w:hRule="atLeast"/>
          <w:cnfStyle w:val="100000000000" w:firstRow="1" w:lastRow="0" w:firstColumn="0" w:lastColumn="0" w:oddVBand="0" w:evenVBand="0" w:oddHBand="0" w:evenHBand="0" w:firstRowFirstColumn="0" w:firstRowLastColumn="0" w:lastRowFirstColumn="0" w:lastRowLastColumn="0"/>
        </w:trPr>
        <w:tc>
          <w:tcPr>
            <w:tcW w:w="4394" w:type="dxa"/>
            <w:cnfStyle w:val="001000000100" w:firstRow="0" w:lastRow="0" w:firstColumn="1" w:lastColumn="0" w:oddVBand="0" w:evenVBand="0" w:oddHBand="0" w:evenHBand="0" w:firstRowFirstColumn="1" w:firstRowLastColumn="0" w:lastRowFirstColumn="0" w:lastRowLastColumn="0"/>
            <w:tcBorders>
              <w:bottom w:val="single" w:sz="18" w:space="0" w:color="FFFFFF"/>
              <w:insideH w:val="single" w:sz="18"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Spesa Superbonus (Super ecobonus e Super sismabonus) 110% gen. – dic. 2022</w:t>
            </w:r>
          </w:p>
        </w:tc>
        <w:tc>
          <w:tcPr>
            <w:tcW w:w="2409" w:type="dxa"/>
            <w:tcBorders>
              <w:bottom w:val="single" w:sz="18" w:space="0" w:color="FFFFFF"/>
              <w:insideH w:val="single" w:sz="18" w:space="0" w:color="FFFFFF"/>
            </w:tcBorders>
            <w:shd w:color="auto" w:fill="70AD47" w:themeFill="accent6" w:val="clear"/>
            <w:tcMar>
              <w:left w:w="138" w:type="dxa"/>
            </w:tcM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b/>
                <w:bCs/>
                <w:color w:val="000000"/>
                <w:sz w:val="24"/>
                <w:szCs w:val="24"/>
                <w:lang w:eastAsia="it-IT"/>
              </w:rPr>
              <w:t>Euro</w:t>
            </w:r>
          </w:p>
        </w:tc>
        <w:tc>
          <w:tcPr>
            <w:tcW w:w="2523" w:type="dxa"/>
            <w:tcBorders>
              <w:bottom w:val="single" w:sz="18" w:space="0" w:color="FFFFFF"/>
              <w:insideH w:val="single" w:sz="18" w:space="0" w:color="FFFFFF"/>
            </w:tcBorders>
            <w:shd w:color="auto" w:fill="70AD47" w:themeFill="accent6" w:val="clear"/>
            <w:tcMar>
              <w:left w:w="138" w:type="dxa"/>
            </w:tcM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b/>
                <w:bCs/>
                <w:color w:val="000000"/>
                <w:sz w:val="24"/>
                <w:szCs w:val="24"/>
                <w:lang w:eastAsia="it-IT"/>
              </w:rPr>
              <w:t xml:space="preserve">              </w:t>
            </w:r>
            <w:r>
              <w:rPr>
                <w:rFonts w:eastAsia="Times New Roman" w:cs="Calibri" w:ascii="Calibri" w:hAnsi="Calibri"/>
                <w:b/>
                <w:bCs/>
                <w:color w:val="000000"/>
                <w:sz w:val="24"/>
                <w:szCs w:val="24"/>
                <w:lang w:eastAsia="it-IT"/>
              </w:rPr>
              <w:t xml:space="preserve">58.840.000.000 </w:t>
            </w:r>
          </w:p>
        </w:tc>
      </w:tr>
      <w:tr>
        <w:trPr>
          <w:trHeight w:val="290" w:hRule="atLeast"/>
          <w:cnfStyle w:val="000000100000" w:firstRow="0" w:lastRow="0" w:firstColumn="0" w:lastColumn="0" w:oddVBand="0" w:evenVBand="0" w:oddHBand="1" w:evenHBand="0" w:firstRowFirstColumn="0" w:firstRowLastColumn="0" w:lastRowFirstColumn="0" w:lastRowLastColumn="0"/>
        </w:trPr>
        <w:tc>
          <w:tcPr>
            <w:tcW w:w="4394"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Spesa a carico dello Stato in termini di detrazioni</w:t>
            </w:r>
          </w:p>
        </w:tc>
        <w:tc>
          <w:tcPr>
            <w:tcW w:w="2409"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523"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64.724.000.000 </w:t>
            </w:r>
          </w:p>
        </w:tc>
      </w:tr>
      <w:tr>
        <w:trPr>
          <w:trHeight w:val="290" w:hRule="exact"/>
        </w:trPr>
        <w:tc>
          <w:tcPr>
            <w:tcW w:w="4394"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70AD47" w:themeFill="accent6" w:val="clear"/>
          </w:tcPr>
          <w:p>
            <w:pPr>
              <w:pStyle w:val="Normal"/>
              <w:spacing w:lineRule="auto" w:line="240" w:before="0" w:after="0"/>
              <w:rPr>
                <w:rFonts w:ascii="Calibri" w:hAnsi="Calibri" w:eastAsia="Times New Roman" w:cs="Calibri"/>
                <w:b/>
                <w:b/>
                <w:bCs/>
                <w:color w:val="FFFFFF" w:themeColor="background1"/>
                <w:sz w:val="24"/>
                <w:szCs w:val="24"/>
                <w:lang w:eastAsia="it-IT"/>
              </w:rPr>
            </w:pPr>
            <w:r>
              <w:rPr>
                <w:rFonts w:eastAsia="Times New Roman" w:cs="Calibri" w:ascii="Calibri" w:hAnsi="Calibri"/>
                <w:b/>
                <w:bCs/>
                <w:color w:val="FFFFFF" w:themeColor="background1"/>
                <w:sz w:val="24"/>
                <w:szCs w:val="24"/>
                <w:lang w:eastAsia="it-IT"/>
              </w:rPr>
            </w:r>
          </w:p>
        </w:tc>
        <w:tc>
          <w:tcPr>
            <w:tcW w:w="2409"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c>
          <w:tcPr>
            <w:tcW w:w="2523"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r>
      <w:tr>
        <w:trPr>
          <w:trHeight w:val="870" w:hRule="atLeast"/>
          <w:cnfStyle w:val="000000100000" w:firstRow="0" w:lastRow="0" w:firstColumn="0" w:lastColumn="0" w:oddVBand="0" w:evenVBand="0" w:oddHBand="1" w:evenHBand="0" w:firstRowFirstColumn="0" w:firstRowLastColumn="0" w:lastRowFirstColumn="0" w:lastRowLastColumn="0"/>
        </w:trPr>
        <w:tc>
          <w:tcPr>
            <w:tcW w:w="4394"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Valore della produzione attivato nella filiera delle costruzioni e dei servizi tecnici connessi e nei settori dell'indotto della filiera delle costruzioni (effetto diretto)</w:t>
            </w:r>
          </w:p>
        </w:tc>
        <w:tc>
          <w:tcPr>
            <w:tcW w:w="2409"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523"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85.318.000.000 </w:t>
            </w:r>
          </w:p>
        </w:tc>
      </w:tr>
      <w:tr>
        <w:trPr>
          <w:trHeight w:val="580" w:hRule="atLeast"/>
        </w:trPr>
        <w:tc>
          <w:tcPr>
            <w:tcW w:w="4394"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Valore della produzione attivato in altri settori del sistema economico connesso alle componenti dell'indotto (effetto indiretto)</w:t>
            </w:r>
          </w:p>
        </w:tc>
        <w:tc>
          <w:tcPr>
            <w:tcW w:w="2409"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523"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38.540.200.000 </w:t>
            </w:r>
          </w:p>
        </w:tc>
      </w:tr>
      <w:tr>
        <w:trPr>
          <w:trHeight w:val="290" w:hRule="atLeast"/>
          <w:cnfStyle w:val="000000100000" w:firstRow="0" w:lastRow="0" w:firstColumn="0" w:lastColumn="0" w:oddVBand="0" w:evenVBand="0" w:oddHBand="1" w:evenHBand="0" w:firstRowFirstColumn="0" w:firstRowLastColumn="0" w:lastRowFirstColumn="0" w:lastRowLastColumn="0"/>
        </w:trPr>
        <w:tc>
          <w:tcPr>
            <w:tcW w:w="4394"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Totale valore della produzione aggiuntiva (effetto totale)</w:t>
            </w:r>
          </w:p>
        </w:tc>
        <w:tc>
          <w:tcPr>
            <w:tcW w:w="2409"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523"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123.858.200.000 </w:t>
            </w:r>
          </w:p>
        </w:tc>
      </w:tr>
      <w:tr>
        <w:trPr>
          <w:trHeight w:val="290" w:hRule="exact"/>
        </w:trPr>
        <w:tc>
          <w:tcPr>
            <w:tcW w:w="4394"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70AD47" w:themeFill="accent6" w:val="clear"/>
          </w:tcPr>
          <w:p>
            <w:pPr>
              <w:pStyle w:val="Normal"/>
              <w:spacing w:lineRule="auto" w:line="240" w:before="0" w:after="0"/>
              <w:rPr>
                <w:rFonts w:ascii="Calibri" w:hAnsi="Calibri" w:eastAsia="Times New Roman" w:cs="Calibri"/>
                <w:b/>
                <w:b/>
                <w:bCs/>
                <w:color w:val="FFFFFF" w:themeColor="background1"/>
                <w:sz w:val="24"/>
                <w:szCs w:val="24"/>
                <w:lang w:eastAsia="it-IT"/>
              </w:rPr>
            </w:pPr>
            <w:r>
              <w:rPr>
                <w:rFonts w:eastAsia="Times New Roman" w:cs="Calibri" w:ascii="Calibri" w:hAnsi="Calibri"/>
                <w:b/>
                <w:bCs/>
                <w:color w:val="FFFFFF" w:themeColor="background1"/>
                <w:sz w:val="24"/>
                <w:szCs w:val="24"/>
                <w:lang w:eastAsia="it-IT"/>
              </w:rPr>
            </w:r>
          </w:p>
        </w:tc>
        <w:tc>
          <w:tcPr>
            <w:tcW w:w="2409"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c>
          <w:tcPr>
            <w:tcW w:w="2523"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r>
      <w:tr>
        <w:trPr>
          <w:trHeight w:val="580" w:hRule="atLeast"/>
          <w:cnfStyle w:val="000000100000" w:firstRow="0" w:lastRow="0" w:firstColumn="0" w:lastColumn="0" w:oddVBand="0" w:evenVBand="0" w:oddHBand="1" w:evenHBand="0" w:firstRowFirstColumn="0" w:firstRowLastColumn="0" w:lastRowFirstColumn="0" w:lastRowLastColumn="0"/>
        </w:trPr>
        <w:tc>
          <w:tcPr>
            <w:tcW w:w="4394"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Valore aggiunto per interventi con Superbonus 110% (effetto diretto)</w:t>
            </w:r>
          </w:p>
        </w:tc>
        <w:tc>
          <w:tcPr>
            <w:tcW w:w="2409"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523"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33.757.804.709 </w:t>
            </w:r>
          </w:p>
        </w:tc>
      </w:tr>
      <w:tr>
        <w:trPr>
          <w:trHeight w:val="580" w:hRule="atLeast"/>
        </w:trPr>
        <w:tc>
          <w:tcPr>
            <w:tcW w:w="4394"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Valore aggiunto da interventi con Superbonus 110% (effetto indiretto)</w:t>
            </w:r>
          </w:p>
        </w:tc>
        <w:tc>
          <w:tcPr>
            <w:tcW w:w="2409"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523"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19.793.776.000 </w:t>
            </w:r>
          </w:p>
        </w:tc>
      </w:tr>
      <w:tr>
        <w:trPr>
          <w:trHeight w:val="290" w:hRule="atLeast"/>
          <w:cnfStyle w:val="000000100000" w:firstRow="0" w:lastRow="0" w:firstColumn="0" w:lastColumn="0" w:oddVBand="0" w:evenVBand="0" w:oddHBand="1" w:evenHBand="0" w:firstRowFirstColumn="0" w:firstRowLastColumn="0" w:lastRowFirstColumn="0" w:lastRowLastColumn="0"/>
        </w:trPr>
        <w:tc>
          <w:tcPr>
            <w:tcW w:w="4394"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Valore aggiunto totale (effetto diretto+indiretto)</w:t>
            </w:r>
          </w:p>
        </w:tc>
        <w:tc>
          <w:tcPr>
            <w:tcW w:w="2409"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523"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53.551.580.709 </w:t>
            </w:r>
          </w:p>
        </w:tc>
      </w:tr>
      <w:tr>
        <w:trPr>
          <w:trHeight w:val="290" w:hRule="exact"/>
        </w:trPr>
        <w:tc>
          <w:tcPr>
            <w:tcW w:w="4394"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70AD47" w:themeFill="accent6" w:val="clear"/>
          </w:tcPr>
          <w:p>
            <w:pPr>
              <w:pStyle w:val="Normal"/>
              <w:spacing w:lineRule="auto" w:line="240" w:before="0" w:after="0"/>
              <w:jc w:val="center"/>
              <w:rPr>
                <w:rFonts w:ascii="Calibri" w:hAnsi="Calibri" w:eastAsia="Times New Roman" w:cs="Calibri"/>
                <w:b/>
                <w:b/>
                <w:bCs/>
                <w:color w:val="FFFFFF" w:themeColor="background1"/>
                <w:sz w:val="24"/>
                <w:szCs w:val="24"/>
                <w:lang w:eastAsia="it-IT"/>
              </w:rPr>
            </w:pPr>
            <w:r>
              <w:rPr>
                <w:rFonts w:eastAsia="Times New Roman" w:cs="Calibri" w:ascii="Calibri" w:hAnsi="Calibri"/>
                <w:b/>
                <w:bCs/>
                <w:color w:val="FFFFFF" w:themeColor="background1"/>
                <w:sz w:val="24"/>
                <w:szCs w:val="24"/>
                <w:lang w:eastAsia="it-IT"/>
              </w:rPr>
            </w:r>
          </w:p>
        </w:tc>
        <w:tc>
          <w:tcPr>
            <w:tcW w:w="2409"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c>
          <w:tcPr>
            <w:tcW w:w="2523"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r>
      <w:tr>
        <w:trPr>
          <w:trHeight w:val="580" w:hRule="atLeast"/>
          <w:cnfStyle w:val="000000100000" w:firstRow="0" w:lastRow="0" w:firstColumn="0" w:lastColumn="0" w:oddVBand="0" w:evenVBand="0" w:oddHBand="1" w:evenHBand="0" w:firstRowFirstColumn="0" w:firstRowLastColumn="0" w:lastRowFirstColumn="0" w:lastRowLastColumn="0"/>
        </w:trPr>
        <w:tc>
          <w:tcPr>
            <w:tcW w:w="4394"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Occupazione diretta nella filiera dell'edilizia, nei servizi tecnici connessi al processo costruttivo e nell'indotto (effetto diretto)</w:t>
            </w:r>
          </w:p>
        </w:tc>
        <w:tc>
          <w:tcPr>
            <w:tcW w:w="2409"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n. Occupati</w:t>
            </w:r>
          </w:p>
        </w:tc>
        <w:tc>
          <w:tcPr>
            <w:tcW w:w="2523"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623.822 </w:t>
            </w:r>
          </w:p>
        </w:tc>
      </w:tr>
      <w:tr>
        <w:trPr>
          <w:trHeight w:val="580" w:hRule="atLeast"/>
        </w:trPr>
        <w:tc>
          <w:tcPr>
            <w:tcW w:w="4394"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Occupazione indiretta attivata in altri settori connessi all'indotto (effetto indiretto)</w:t>
            </w:r>
          </w:p>
        </w:tc>
        <w:tc>
          <w:tcPr>
            <w:tcW w:w="2409"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n. Occupati</w:t>
            </w:r>
          </w:p>
        </w:tc>
        <w:tc>
          <w:tcPr>
            <w:tcW w:w="2523"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341.272 </w:t>
            </w:r>
          </w:p>
        </w:tc>
      </w:tr>
      <w:tr>
        <w:trPr>
          <w:trHeight w:val="290" w:hRule="exact"/>
          <w:cnfStyle w:val="000000100000" w:firstRow="0" w:lastRow="0" w:firstColumn="0" w:lastColumn="0" w:oddVBand="0" w:evenVBand="0" w:oddHBand="1" w:evenHBand="0" w:firstRowFirstColumn="0" w:firstRowLastColumn="0" w:lastRowFirstColumn="0" w:lastRowLastColumn="0"/>
        </w:trPr>
        <w:tc>
          <w:tcPr>
            <w:tcW w:w="4394"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70AD47" w:themeFill="accent6" w:val="clear"/>
          </w:tcPr>
          <w:p>
            <w:pPr>
              <w:pStyle w:val="Normal"/>
              <w:spacing w:lineRule="auto" w:line="240" w:before="0" w:after="0"/>
              <w:rPr>
                <w:rFonts w:ascii="Calibri" w:hAnsi="Calibri" w:eastAsia="Times New Roman" w:cs="Calibri"/>
                <w:b/>
                <w:b/>
                <w:bCs/>
                <w:color w:val="FFFFFF" w:themeColor="background1"/>
                <w:sz w:val="24"/>
                <w:szCs w:val="24"/>
                <w:lang w:eastAsia="it-IT"/>
              </w:rPr>
            </w:pPr>
            <w:r>
              <w:rPr>
                <w:rFonts w:eastAsia="Times New Roman" w:cs="Calibri" w:ascii="Calibri" w:hAnsi="Calibri"/>
                <w:b/>
                <w:bCs/>
                <w:color w:val="FFFFFF" w:themeColor="background1"/>
                <w:sz w:val="24"/>
                <w:szCs w:val="24"/>
                <w:lang w:eastAsia="it-IT"/>
              </w:rPr>
            </w:r>
          </w:p>
        </w:tc>
        <w:tc>
          <w:tcPr>
            <w:tcW w:w="2409"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c>
          <w:tcPr>
            <w:tcW w:w="2523"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r>
      <w:tr>
        <w:trPr>
          <w:trHeight w:val="290" w:hRule="atLeast"/>
        </w:trPr>
        <w:tc>
          <w:tcPr>
            <w:tcW w:w="4394"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Occupazione totale aggiuntiva (effetto totale)</w:t>
            </w:r>
          </w:p>
        </w:tc>
        <w:tc>
          <w:tcPr>
            <w:tcW w:w="2409"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n. Occupati</w:t>
            </w:r>
          </w:p>
        </w:tc>
        <w:tc>
          <w:tcPr>
            <w:tcW w:w="2523"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965.094 </w:t>
            </w:r>
          </w:p>
        </w:tc>
      </w:tr>
      <w:tr>
        <w:trPr>
          <w:trHeight w:val="290" w:hRule="exact"/>
          <w:cnfStyle w:val="000000100000" w:firstRow="0" w:lastRow="0" w:firstColumn="0" w:lastColumn="0" w:oddVBand="0" w:evenVBand="0" w:oddHBand="1" w:evenHBand="0" w:firstRowFirstColumn="0" w:firstRowLastColumn="0" w:lastRowFirstColumn="0" w:lastRowLastColumn="0"/>
        </w:trPr>
        <w:tc>
          <w:tcPr>
            <w:tcW w:w="4394"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70AD47" w:themeFill="accent6" w:val="clear"/>
          </w:tcPr>
          <w:p>
            <w:pPr>
              <w:pStyle w:val="Normal"/>
              <w:spacing w:lineRule="auto" w:line="240" w:before="0" w:after="0"/>
              <w:rPr>
                <w:rFonts w:ascii="Calibri" w:hAnsi="Calibri" w:eastAsia="Times New Roman" w:cs="Calibri"/>
                <w:b/>
                <w:b/>
                <w:bCs/>
                <w:color w:val="FFFFFF" w:themeColor="background1"/>
                <w:sz w:val="24"/>
                <w:szCs w:val="24"/>
                <w:lang w:eastAsia="it-IT"/>
              </w:rPr>
            </w:pPr>
            <w:r>
              <w:rPr>
                <w:rFonts w:eastAsia="Times New Roman" w:cs="Calibri" w:ascii="Calibri" w:hAnsi="Calibri"/>
                <w:b/>
                <w:bCs/>
                <w:color w:val="FFFFFF" w:themeColor="background1"/>
                <w:sz w:val="24"/>
                <w:szCs w:val="24"/>
                <w:lang w:eastAsia="it-IT"/>
              </w:rPr>
            </w:r>
          </w:p>
        </w:tc>
        <w:tc>
          <w:tcPr>
            <w:tcW w:w="2409"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c>
          <w:tcPr>
            <w:tcW w:w="2523"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r>
      <w:tr>
        <w:trPr>
          <w:trHeight w:val="290" w:hRule="atLeast"/>
        </w:trPr>
        <w:tc>
          <w:tcPr>
            <w:tcW w:w="4394"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 xml:space="preserve">Gettito fiscale diretto </w:t>
            </w:r>
          </w:p>
        </w:tc>
        <w:tc>
          <w:tcPr>
            <w:tcW w:w="2409"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FFFFFF" w:themeColor="background1"/>
                <w:sz w:val="24"/>
                <w:szCs w:val="24"/>
                <w:lang w:eastAsia="it-IT"/>
              </w:rPr>
            </w:pPr>
            <w:r>
              <w:rPr>
                <w:rFonts w:eastAsia="Times New Roman" w:cs="Calibri" w:ascii="Calibri" w:hAnsi="Calibri"/>
                <w:color w:val="FFFFFF" w:themeColor="background1"/>
                <w:sz w:val="24"/>
                <w:szCs w:val="24"/>
                <w:lang w:eastAsia="it-IT"/>
              </w:rPr>
            </w:r>
          </w:p>
        </w:tc>
        <w:tc>
          <w:tcPr>
            <w:tcW w:w="2523"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21.460.014.989,82 </w:t>
            </w:r>
          </w:p>
        </w:tc>
      </w:tr>
      <w:tr>
        <w:trPr>
          <w:trHeight w:val="290" w:hRule="atLeast"/>
          <w:cnfStyle w:val="000000100000" w:firstRow="0" w:lastRow="0" w:firstColumn="0" w:lastColumn="0" w:oddVBand="0" w:evenVBand="0" w:oddHBand="1" w:evenHBand="0" w:firstRowFirstColumn="0" w:firstRowLastColumn="0" w:lastRowFirstColumn="0" w:lastRowLastColumn="0"/>
        </w:trPr>
        <w:tc>
          <w:tcPr>
            <w:tcW w:w="4394"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 xml:space="preserve">Disavanzo Stato totale </w:t>
            </w:r>
          </w:p>
        </w:tc>
        <w:tc>
          <w:tcPr>
            <w:tcW w:w="2409"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FFFFFF" w:themeColor="background1"/>
                <w:sz w:val="24"/>
                <w:szCs w:val="24"/>
                <w:lang w:eastAsia="it-IT"/>
              </w:rPr>
            </w:pPr>
            <w:r>
              <w:rPr>
                <w:rFonts w:eastAsia="Times New Roman" w:cs="Calibri" w:ascii="Calibri" w:hAnsi="Calibri"/>
                <w:color w:val="FFFFFF" w:themeColor="background1"/>
                <w:sz w:val="24"/>
                <w:szCs w:val="24"/>
                <w:lang w:eastAsia="it-IT"/>
              </w:rPr>
            </w:r>
          </w:p>
        </w:tc>
        <w:tc>
          <w:tcPr>
            <w:tcW w:w="2523" w:type="dxa"/>
            <w:tcBorders>
              <w:top w:val="single" w:sz="4" w:space="0" w:color="FFFFFF"/>
              <w:bottom w:val="single" w:sz="4" w:space="0" w:color="FFFFFF"/>
              <w:insideH w:val="single" w:sz="4" w:space="0" w:color="FFFFFF"/>
            </w:tcBorders>
            <w:shd w:color="auto" w:fill="70AD47" w:themeFill="accent6"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43.263.985.010,18 </w:t>
            </w:r>
          </w:p>
        </w:tc>
      </w:tr>
      <w:tr>
        <w:trPr>
          <w:trHeight w:val="290" w:hRule="atLeast"/>
        </w:trPr>
        <w:tc>
          <w:tcPr>
            <w:tcW w:w="4394"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70AD47" w:themeFill="accent6" w:val="clear"/>
          </w:tcPr>
          <w:p>
            <w:pPr>
              <w:pStyle w:val="Normal"/>
              <w:spacing w:lineRule="auto" w:line="240" w:before="0" w:after="0"/>
              <w:rPr>
                <w:rFonts w:ascii="Calibri" w:hAnsi="Calibri"/>
                <w:sz w:val="24"/>
                <w:szCs w:val="24"/>
              </w:rPr>
            </w:pPr>
            <w:r>
              <w:rPr>
                <w:rFonts w:eastAsia="Times New Roman" w:cs="Calibri" w:ascii="Calibri" w:hAnsi="Calibri"/>
                <w:b w:val="false"/>
                <w:bCs w:val="false"/>
                <w:color w:val="000000"/>
                <w:sz w:val="24"/>
                <w:szCs w:val="24"/>
                <w:lang w:eastAsia="it-IT"/>
              </w:rPr>
              <w:t>Valore aggiuto/Pil</w:t>
            </w:r>
          </w:p>
        </w:tc>
        <w:tc>
          <w:tcPr>
            <w:tcW w:w="2409" w:type="dxa"/>
            <w:tcBorders/>
            <w:shd w:color="auto" w:fill="70AD47" w:themeFill="accent6"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w:t>
            </w:r>
          </w:p>
        </w:tc>
        <w:tc>
          <w:tcPr>
            <w:tcW w:w="2523" w:type="dxa"/>
            <w:tcBorders/>
            <w:shd w:color="auto" w:fill="70AD47" w:themeFill="accent6" w:val="clear"/>
            <w:tcMar>
              <w:left w:w="138" w:type="dxa"/>
            </w:tcM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1,8</w:t>
            </w:r>
          </w:p>
        </w:tc>
      </w:tr>
    </w:tbl>
    <w:p>
      <w:pPr>
        <w:pStyle w:val="Normal"/>
        <w:jc w:val="both"/>
        <w:rPr>
          <w:rFonts w:ascii="Calibri" w:hAnsi="Calibri"/>
          <w:sz w:val="24"/>
          <w:szCs w:val="24"/>
        </w:rPr>
      </w:pPr>
      <w:r>
        <w:rPr>
          <w:rFonts w:ascii="Calibri" w:hAnsi="Calibri"/>
          <w:sz w:val="24"/>
          <w:szCs w:val="24"/>
        </w:rPr>
        <w:t>Fonte: elaborazione Centro Studi CNI su dati Enea, Agenzia delle Entrate, Def 2023, Istat</w:t>
      </w:r>
    </w:p>
    <w:p>
      <w:pPr>
        <w:pStyle w:val="Normal"/>
        <w:jc w:val="both"/>
        <w:rPr>
          <w:rFonts w:ascii="Calibri" w:hAnsi="Calibri"/>
          <w:sz w:val="24"/>
          <w:szCs w:val="24"/>
        </w:rPr>
      </w:pPr>
      <w:r>
        <w:rPr>
          <w:rFonts w:ascii="Calibri" w:hAnsi="Calibri"/>
          <w:b/>
          <w:bCs/>
          <w:sz w:val="24"/>
          <w:szCs w:val="24"/>
        </w:rPr>
        <w:t>Nel 2022 si presume che un investimento in opere di ristrutturazione di 58,8 miliardi abbia attivato una produzione di 123 miliardi</w:t>
      </w:r>
      <w:r>
        <w:rPr>
          <w:rFonts w:ascii="Calibri" w:hAnsi="Calibri"/>
          <w:sz w:val="24"/>
          <w:szCs w:val="24"/>
        </w:rPr>
        <w:t xml:space="preserve">, abbia generato </w:t>
      </w:r>
      <w:r>
        <w:rPr>
          <w:rFonts w:ascii="Calibri" w:hAnsi="Calibri"/>
          <w:b/>
          <w:bCs/>
          <w:sz w:val="24"/>
          <w:szCs w:val="24"/>
        </w:rPr>
        <w:t>valore aggiunto diretto</w:t>
      </w:r>
      <w:r>
        <w:rPr>
          <w:rFonts w:ascii="Calibri" w:hAnsi="Calibri"/>
          <w:sz w:val="24"/>
          <w:szCs w:val="24"/>
        </w:rPr>
        <w:t xml:space="preserve"> (nel comparto costruzioni, Sia e indotto di primo livello) </w:t>
      </w:r>
      <w:r>
        <w:rPr>
          <w:rFonts w:ascii="Calibri" w:hAnsi="Calibri"/>
          <w:b/>
          <w:bCs/>
          <w:sz w:val="24"/>
          <w:szCs w:val="24"/>
        </w:rPr>
        <w:t>di 33,7 miliardi di euro</w:t>
      </w:r>
      <w:r>
        <w:rPr>
          <w:rFonts w:ascii="Calibri" w:hAnsi="Calibri"/>
          <w:sz w:val="24"/>
          <w:szCs w:val="24"/>
        </w:rPr>
        <w:t xml:space="preserve"> ed abbia coinvolto </w:t>
      </w:r>
      <w:r>
        <w:rPr>
          <w:rFonts w:ascii="Calibri" w:hAnsi="Calibri"/>
          <w:b/>
          <w:bCs/>
          <w:sz w:val="24"/>
          <w:szCs w:val="24"/>
        </w:rPr>
        <w:t>occupazione diretta per 623.000 unità di lavoro</w:t>
      </w:r>
      <w:r>
        <w:rPr>
          <w:rFonts w:ascii="Calibri" w:hAnsi="Calibri"/>
          <w:sz w:val="24"/>
          <w:szCs w:val="24"/>
        </w:rPr>
        <w:t xml:space="preserve">. E’ impossibile non ritenere che una tale mole di lavoro non abbia attivato un </w:t>
      </w:r>
      <w:r>
        <w:rPr>
          <w:rFonts w:ascii="Calibri" w:hAnsi="Calibri"/>
          <w:b/>
          <w:bCs/>
          <w:sz w:val="24"/>
          <w:szCs w:val="24"/>
        </w:rPr>
        <w:t>gettito fiscale significativo</w:t>
      </w:r>
      <w:r>
        <w:rPr>
          <w:rFonts w:ascii="Calibri" w:hAnsi="Calibri"/>
          <w:sz w:val="24"/>
          <w:szCs w:val="24"/>
        </w:rPr>
        <w:t xml:space="preserve">. Presumiamo che questo ammonti </w:t>
      </w:r>
      <w:r>
        <w:rPr>
          <w:rFonts w:ascii="Calibri" w:hAnsi="Calibri"/>
          <w:b/>
          <w:bCs/>
          <w:sz w:val="24"/>
          <w:szCs w:val="24"/>
        </w:rPr>
        <w:t>a circa 21 miliardi</w:t>
      </w:r>
      <w:r>
        <w:rPr>
          <w:rFonts w:ascii="Calibri" w:hAnsi="Calibri"/>
          <w:sz w:val="24"/>
          <w:szCs w:val="24"/>
        </w:rPr>
        <w:t xml:space="preserve"> che ridurrebbero, dal punto di vista teorico, </w:t>
      </w:r>
      <w:r>
        <w:rPr>
          <w:rFonts w:ascii="Calibri" w:hAnsi="Calibri"/>
          <w:b/>
          <w:bCs/>
          <w:sz w:val="24"/>
          <w:szCs w:val="24"/>
        </w:rPr>
        <w:t xml:space="preserve">gli oneri a carico dello Stato da 64,7 miliardi di euro a 43,2 miliardi. </w:t>
      </w:r>
      <w:r>
        <w:rPr>
          <w:rFonts w:ascii="Calibri" w:hAnsi="Calibri"/>
          <w:sz w:val="24"/>
          <w:szCs w:val="24"/>
        </w:rPr>
        <w:t xml:space="preserve">E’ interessante rilevare che le simulazioni così elaborate portano a dire che tale </w:t>
      </w:r>
      <w:r>
        <w:rPr>
          <w:rFonts w:ascii="Calibri" w:hAnsi="Calibri"/>
          <w:b/>
          <w:bCs/>
          <w:sz w:val="24"/>
          <w:szCs w:val="24"/>
        </w:rPr>
        <w:t>spesa effettuata nel 2022 ha generato circa 1,7% del Pil</w:t>
      </w:r>
      <w:r>
        <w:rPr>
          <w:rFonts w:ascii="Calibri" w:hAnsi="Calibri"/>
          <w:sz w:val="24"/>
          <w:szCs w:val="24"/>
        </w:rPr>
        <w:t xml:space="preserve">, in termini di valore aggiunto ed ha contribuito ad almeno il </w:t>
      </w:r>
      <w:r>
        <w:rPr>
          <w:rFonts w:ascii="Calibri" w:hAnsi="Calibri"/>
          <w:b/>
          <w:bCs/>
          <w:sz w:val="24"/>
          <w:szCs w:val="24"/>
        </w:rPr>
        <w:t>60% degli investimenti in abitazioni per l’anno considerato</w:t>
      </w:r>
      <w:r>
        <w:rPr>
          <w:rFonts w:ascii="Calibri" w:hAnsi="Calibri"/>
          <w:sz w:val="24"/>
          <w:szCs w:val="24"/>
        </w:rPr>
        <w:t xml:space="preserve">.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Analizziamo infine l’impatto dell’intera spesa attivata dai Superbonus </w:t>
      </w:r>
      <w:r>
        <w:rPr>
          <w:rFonts w:ascii="Calibri" w:hAnsi="Calibri"/>
          <w:b/>
          <w:bCs/>
          <w:sz w:val="24"/>
          <w:szCs w:val="24"/>
        </w:rPr>
        <w:t>nel periodo compreso tra agosto 2020 e agosto 2023</w:t>
      </w:r>
      <w:r>
        <w:rPr>
          <w:rFonts w:ascii="Calibri" w:hAnsi="Calibri"/>
          <w:sz w:val="24"/>
          <w:szCs w:val="24"/>
        </w:rPr>
        <w:t xml:space="preserve">. Come detto in precedenza, secondo i dati Enea la spesa per </w:t>
      </w:r>
      <w:r>
        <w:rPr>
          <w:rFonts w:ascii="Calibri" w:hAnsi="Calibri"/>
          <w:b/>
          <w:bCs/>
          <w:sz w:val="24"/>
          <w:szCs w:val="24"/>
        </w:rPr>
        <w:t>Super ecobonus ha raggiunto 86,3 miliardi di euro, mentre per il Super sismabonus si stima</w:t>
      </w:r>
      <w:r>
        <w:rPr>
          <w:rFonts w:ascii="Calibri" w:hAnsi="Calibri"/>
          <w:sz w:val="24"/>
          <w:szCs w:val="24"/>
        </w:rPr>
        <w:t xml:space="preserve">, in via prudenziale, </w:t>
      </w:r>
      <w:r>
        <w:rPr>
          <w:rFonts w:ascii="Calibri" w:hAnsi="Calibri"/>
          <w:b/>
          <w:bCs/>
          <w:sz w:val="24"/>
          <w:szCs w:val="24"/>
        </w:rPr>
        <w:t>una spesa di 25 miliardi di euro per un totale di 111,3 miliardi</w:t>
      </w:r>
      <w:r>
        <w:rPr>
          <w:rFonts w:ascii="Calibri" w:hAnsi="Calibri"/>
          <w:sz w:val="24"/>
          <w:szCs w:val="24"/>
        </w:rPr>
        <w:t xml:space="preserve"> che attivano dinamiche come di seguito esposto:</w:t>
      </w:r>
    </w:p>
    <w:p>
      <w:pPr>
        <w:pStyle w:val="Normal"/>
        <w:jc w:val="both"/>
        <w:rPr>
          <w:rFonts w:ascii="Calibri" w:hAnsi="Calibri"/>
          <w:sz w:val="24"/>
          <w:szCs w:val="24"/>
        </w:rPr>
      </w:pPr>
      <w:r>
        <w:rPr>
          <w:rFonts w:ascii="Calibri" w:hAnsi="Calibri"/>
          <w:sz w:val="24"/>
          <w:szCs w:val="24"/>
        </w:rPr>
      </w:r>
    </w:p>
    <w:tbl>
      <w:tblPr>
        <w:tblStyle w:val="Tabellaelenco5scura-colore2"/>
        <w:tblW w:w="10035" w:type="dxa"/>
        <w:jc w:val="left"/>
        <w:tblInd w:w="0" w:type="dxa"/>
        <w:tblBorders>
          <w:bottom w:val="single" w:sz="18" w:space="0" w:color="FFFFFF"/>
          <w:insideH w:val="single" w:sz="18" w:space="0" w:color="FFFFFF"/>
        </w:tblBorders>
        <w:tblCellMar>
          <w:top w:w="0" w:type="dxa"/>
          <w:left w:w="78" w:type="dxa"/>
          <w:bottom w:w="0" w:type="dxa"/>
          <w:right w:w="108" w:type="dxa"/>
        </w:tblCellMar>
        <w:tblLook w:firstRow="1" w:noVBand="1" w:lastRow="0" w:firstColumn="1" w:lastColumn="0" w:noHBand="0" w:val="04a0"/>
      </w:tblPr>
      <w:tblGrid>
        <w:gridCol w:w="5215"/>
        <w:gridCol w:w="2410"/>
        <w:gridCol w:w="2410"/>
      </w:tblGrid>
      <w:tr>
        <w:trPr>
          <w:trHeight w:val="290" w:hRule="atLeast"/>
          <w:cnfStyle w:val="100000000000" w:firstRow="1" w:lastRow="0" w:firstColumn="0" w:lastColumn="0" w:oddVBand="0" w:evenVBand="0" w:oddHBand="0" w:evenHBand="0" w:firstRowFirstColumn="0" w:firstRowLastColumn="0" w:lastRowFirstColumn="0" w:lastRowLastColumn="0"/>
        </w:trPr>
        <w:tc>
          <w:tcPr>
            <w:tcW w:w="5215" w:type="dxa"/>
            <w:cnfStyle w:val="001000000100" w:firstRow="0" w:lastRow="0" w:firstColumn="1" w:lastColumn="0" w:oddVBand="0" w:evenVBand="0" w:oddHBand="0" w:evenHBand="0" w:firstRowFirstColumn="1" w:firstRowLastColumn="0" w:lastRowFirstColumn="0" w:lastRowLastColumn="0"/>
            <w:tcBorders>
              <w:bottom w:val="single" w:sz="18" w:space="0" w:color="FFFFFF"/>
              <w:insideH w:val="single" w:sz="18"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Spesa Superbonus (Super ecobonus e Super sismabonus) ago. 2020 – ago. 2023</w:t>
            </w:r>
          </w:p>
        </w:tc>
        <w:tc>
          <w:tcPr>
            <w:tcW w:w="2410" w:type="dxa"/>
            <w:tcBorders>
              <w:bottom w:val="single" w:sz="18" w:space="0" w:color="FFFFFF"/>
              <w:insideH w:val="single" w:sz="18" w:space="0" w:color="FFFFFF"/>
            </w:tcBorders>
            <w:shd w:color="auto" w:fill="ED7D31" w:themeFill="accent2" w:val="clear"/>
            <w:tcMar>
              <w:left w:w="138" w:type="dxa"/>
            </w:tcM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b/>
                <w:bCs/>
                <w:color w:val="000000"/>
                <w:sz w:val="24"/>
                <w:szCs w:val="24"/>
                <w:lang w:eastAsia="it-IT"/>
              </w:rPr>
              <w:t>Euro</w:t>
            </w:r>
          </w:p>
        </w:tc>
        <w:tc>
          <w:tcPr>
            <w:tcW w:w="2410" w:type="dxa"/>
            <w:tcBorders>
              <w:bottom w:val="single" w:sz="18" w:space="0" w:color="FFFFFF"/>
              <w:insideH w:val="single" w:sz="18" w:space="0" w:color="FFFFFF"/>
            </w:tcBorders>
            <w:shd w:color="auto" w:fill="ED7D31" w:themeFill="accent2" w:val="clear"/>
            <w:tcMar>
              <w:left w:w="138" w:type="dxa"/>
            </w:tcM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b/>
                <w:bCs/>
                <w:color w:val="000000"/>
                <w:sz w:val="24"/>
                <w:szCs w:val="24"/>
                <w:lang w:eastAsia="it-IT"/>
              </w:rPr>
              <w:t xml:space="preserve">            </w:t>
            </w:r>
            <w:r>
              <w:rPr>
                <w:rFonts w:eastAsia="Times New Roman" w:cs="Calibri" w:ascii="Calibri" w:hAnsi="Calibri"/>
                <w:b/>
                <w:bCs/>
                <w:color w:val="000000"/>
                <w:sz w:val="24"/>
                <w:szCs w:val="24"/>
                <w:lang w:eastAsia="it-IT"/>
              </w:rPr>
              <w:t xml:space="preserve">111.300.000.000 </w:t>
            </w:r>
          </w:p>
        </w:tc>
      </w:tr>
      <w:tr>
        <w:trPr>
          <w:trHeight w:val="290" w:hRule="atLeast"/>
          <w:cnfStyle w:val="000000100000" w:firstRow="0" w:lastRow="0" w:firstColumn="0" w:lastColumn="0" w:oddVBand="0" w:evenVBand="0" w:oddHBand="1" w:evenHBand="0" w:firstRowFirstColumn="0" w:firstRowLastColumn="0" w:lastRowFirstColumn="0" w:lastRowLastColumn="0"/>
        </w:trPr>
        <w:tc>
          <w:tcPr>
            <w:tcW w:w="5215"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Stima spesa a carico dello Stato in termini di detrazioni (al 110% fino al 22022 e al 90% nel 2023)</w:t>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107.000.000.000 </w:t>
            </w:r>
          </w:p>
        </w:tc>
      </w:tr>
      <w:tr>
        <w:trPr>
          <w:trHeight w:val="290" w:hRule="exact"/>
        </w:trPr>
        <w:tc>
          <w:tcPr>
            <w:tcW w:w="5215"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ED7D31" w:themeFill="accent2" w:val="clear"/>
          </w:tcPr>
          <w:p>
            <w:pPr>
              <w:pStyle w:val="Normal"/>
              <w:spacing w:lineRule="auto" w:line="240" w:before="0" w:after="0"/>
              <w:rPr>
                <w:rFonts w:ascii="Calibri" w:hAnsi="Calibri" w:eastAsia="Times New Roman" w:cs="Calibri"/>
                <w:b/>
                <w:b/>
                <w:bCs/>
                <w:color w:val="FFFFFF" w:themeColor="background1"/>
                <w:sz w:val="24"/>
                <w:szCs w:val="24"/>
                <w:lang w:eastAsia="it-IT"/>
              </w:rPr>
            </w:pPr>
            <w:r>
              <w:rPr>
                <w:rFonts w:eastAsia="Times New Roman" w:cs="Calibri" w:ascii="Calibri" w:hAnsi="Calibri"/>
                <w:b/>
                <w:bCs/>
                <w:color w:val="FFFFFF" w:themeColor="background1"/>
                <w:sz w:val="24"/>
                <w:szCs w:val="24"/>
                <w:lang w:eastAsia="it-IT"/>
              </w:rPr>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r>
      <w:tr>
        <w:trPr>
          <w:trHeight w:val="870" w:hRule="atLeast"/>
          <w:cnfStyle w:val="000000100000" w:firstRow="0" w:lastRow="0" w:firstColumn="0" w:lastColumn="0" w:oddVBand="0" w:evenVBand="0" w:oddHBand="1" w:evenHBand="0" w:firstRowFirstColumn="0" w:firstRowLastColumn="0" w:lastRowFirstColumn="0" w:lastRowLastColumn="0"/>
        </w:trPr>
        <w:tc>
          <w:tcPr>
            <w:tcW w:w="5215"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Valore della produzione attivato nella filiera delle costruzioni e dei servizi tecnici connessi e nei settori dell'indotto della filiera delle costruzioni (effetto diretto)</w:t>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161.385.000.000 </w:t>
            </w:r>
          </w:p>
        </w:tc>
      </w:tr>
      <w:tr>
        <w:trPr>
          <w:trHeight w:val="580" w:hRule="atLeast"/>
        </w:trPr>
        <w:tc>
          <w:tcPr>
            <w:tcW w:w="5215"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Valore della produzione attivato in altri settori del sistema economico connesso alle componenti dell'indotto (effetto indiretto)</w:t>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72.901.500.000 </w:t>
            </w:r>
          </w:p>
        </w:tc>
      </w:tr>
      <w:tr>
        <w:trPr>
          <w:trHeight w:val="290" w:hRule="atLeast"/>
          <w:cnfStyle w:val="000000100000" w:firstRow="0" w:lastRow="0" w:firstColumn="0" w:lastColumn="0" w:oddVBand="0" w:evenVBand="0" w:oddHBand="1" w:evenHBand="0" w:firstRowFirstColumn="0" w:firstRowLastColumn="0" w:lastRowFirstColumn="0" w:lastRowLastColumn="0"/>
        </w:trPr>
        <w:tc>
          <w:tcPr>
            <w:tcW w:w="5215"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Totale valore della produzione aggiuntiva (effetto totale)</w:t>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234.286.500.000 </w:t>
            </w:r>
          </w:p>
        </w:tc>
      </w:tr>
      <w:tr>
        <w:trPr>
          <w:trHeight w:val="290" w:hRule="exact"/>
        </w:trPr>
        <w:tc>
          <w:tcPr>
            <w:tcW w:w="5215"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ED7D31" w:themeFill="accent2" w:val="clear"/>
          </w:tcPr>
          <w:p>
            <w:pPr>
              <w:pStyle w:val="Normal"/>
              <w:spacing w:lineRule="auto" w:line="240" w:before="0" w:after="0"/>
              <w:rPr>
                <w:rFonts w:ascii="Calibri" w:hAnsi="Calibri" w:eastAsia="Times New Roman" w:cs="Calibri"/>
                <w:b/>
                <w:b/>
                <w:bCs/>
                <w:color w:val="FFFFFF" w:themeColor="background1"/>
                <w:sz w:val="24"/>
                <w:szCs w:val="24"/>
                <w:lang w:eastAsia="it-IT"/>
              </w:rPr>
            </w:pPr>
            <w:r>
              <w:rPr>
                <w:rFonts w:eastAsia="Times New Roman" w:cs="Calibri" w:ascii="Calibri" w:hAnsi="Calibri"/>
                <w:b/>
                <w:bCs/>
                <w:color w:val="FFFFFF" w:themeColor="background1"/>
                <w:sz w:val="24"/>
                <w:szCs w:val="24"/>
                <w:lang w:eastAsia="it-IT"/>
              </w:rPr>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r>
      <w:tr>
        <w:trPr>
          <w:trHeight w:val="580" w:hRule="atLeast"/>
          <w:cnfStyle w:val="000000100000" w:firstRow="0" w:lastRow="0" w:firstColumn="0" w:lastColumn="0" w:oddVBand="0" w:evenVBand="0" w:oddHBand="1" w:evenHBand="0" w:firstRowFirstColumn="0" w:firstRowLastColumn="0" w:lastRowFirstColumn="0" w:lastRowLastColumn="0"/>
        </w:trPr>
        <w:tc>
          <w:tcPr>
            <w:tcW w:w="5215"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Valore aggiunto per interventi con Superbonus 110% (effetto diretto)</w:t>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63.855.262.816 </w:t>
            </w:r>
          </w:p>
        </w:tc>
      </w:tr>
      <w:tr>
        <w:trPr>
          <w:trHeight w:val="580" w:hRule="atLeast"/>
        </w:trPr>
        <w:tc>
          <w:tcPr>
            <w:tcW w:w="5215"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Valore aggiunto da interventi con Superbonus 110% (effetto indiretto)</w:t>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37.441.320.000 </w:t>
            </w:r>
          </w:p>
        </w:tc>
      </w:tr>
      <w:tr>
        <w:trPr>
          <w:trHeight w:val="290" w:hRule="exact"/>
          <w:cnfStyle w:val="000000100000" w:firstRow="0" w:lastRow="0" w:firstColumn="0" w:lastColumn="0" w:oddVBand="0" w:evenVBand="0" w:oddHBand="1" w:evenHBand="0" w:firstRowFirstColumn="0" w:firstRowLastColumn="0" w:lastRowFirstColumn="0" w:lastRowLastColumn="0"/>
        </w:trPr>
        <w:tc>
          <w:tcPr>
            <w:tcW w:w="5215"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ED7D31" w:themeFill="accent2" w:val="clear"/>
          </w:tcPr>
          <w:p>
            <w:pPr>
              <w:pStyle w:val="Normal"/>
              <w:spacing w:lineRule="auto" w:line="240" w:before="0" w:after="0"/>
              <w:rPr>
                <w:rFonts w:ascii="Calibri" w:hAnsi="Calibri" w:eastAsia="Times New Roman" w:cs="Calibri"/>
                <w:b/>
                <w:b/>
                <w:bCs/>
                <w:color w:val="FFFFFF" w:themeColor="background1"/>
                <w:sz w:val="24"/>
                <w:szCs w:val="24"/>
                <w:lang w:eastAsia="it-IT"/>
              </w:rPr>
            </w:pPr>
            <w:r>
              <w:rPr>
                <w:rFonts w:eastAsia="Times New Roman" w:cs="Calibri" w:ascii="Calibri" w:hAnsi="Calibri"/>
                <w:b/>
                <w:bCs/>
                <w:color w:val="FFFFFF" w:themeColor="background1"/>
                <w:sz w:val="24"/>
                <w:szCs w:val="24"/>
                <w:lang w:eastAsia="it-IT"/>
              </w:rPr>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r>
      <w:tr>
        <w:trPr>
          <w:trHeight w:val="290" w:hRule="atLeast"/>
        </w:trPr>
        <w:tc>
          <w:tcPr>
            <w:tcW w:w="5215"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Valore aggiunto totale (effetto diretto+indiretto)</w:t>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Euro</w:t>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101.296.582.816 </w:t>
            </w:r>
          </w:p>
        </w:tc>
      </w:tr>
      <w:tr>
        <w:trPr>
          <w:trHeight w:val="290" w:hRule="exact"/>
          <w:cnfStyle w:val="000000100000" w:firstRow="0" w:lastRow="0" w:firstColumn="0" w:lastColumn="0" w:oddVBand="0" w:evenVBand="0" w:oddHBand="1" w:evenHBand="0" w:firstRowFirstColumn="0" w:firstRowLastColumn="0" w:lastRowFirstColumn="0" w:lastRowLastColumn="0"/>
        </w:trPr>
        <w:tc>
          <w:tcPr>
            <w:tcW w:w="5215"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ED7D31" w:themeFill="accent2" w:val="clear"/>
          </w:tcPr>
          <w:p>
            <w:pPr>
              <w:pStyle w:val="Normal"/>
              <w:spacing w:lineRule="auto" w:line="240" w:before="0" w:after="0"/>
              <w:jc w:val="center"/>
              <w:rPr>
                <w:rFonts w:ascii="Calibri" w:hAnsi="Calibri" w:eastAsia="Times New Roman" w:cs="Calibri"/>
                <w:b/>
                <w:b/>
                <w:bCs/>
                <w:color w:val="FFFFFF" w:themeColor="background1"/>
                <w:sz w:val="24"/>
                <w:szCs w:val="24"/>
                <w:lang w:eastAsia="it-IT"/>
              </w:rPr>
            </w:pPr>
            <w:r>
              <w:rPr>
                <w:rFonts w:eastAsia="Times New Roman" w:cs="Calibri" w:ascii="Calibri" w:hAnsi="Calibri"/>
                <w:b/>
                <w:bCs/>
                <w:color w:val="FFFFFF" w:themeColor="background1"/>
                <w:sz w:val="24"/>
                <w:szCs w:val="24"/>
                <w:lang w:eastAsia="it-IT"/>
              </w:rPr>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r>
      <w:tr>
        <w:trPr>
          <w:trHeight w:val="580" w:hRule="atLeast"/>
        </w:trPr>
        <w:tc>
          <w:tcPr>
            <w:tcW w:w="5215"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Occupazione diretta nella filiera dell'edilizia, nei servizi tecnici connessi al processo costruttivo e nell'indotto (effetto diretto)</w:t>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n. Occupati</w:t>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1.180.003 </w:t>
            </w:r>
          </w:p>
        </w:tc>
      </w:tr>
      <w:tr>
        <w:trPr>
          <w:trHeight w:val="580" w:hRule="atLeast"/>
          <w:cnfStyle w:val="000000100000" w:firstRow="0" w:lastRow="0" w:firstColumn="0" w:lastColumn="0" w:oddVBand="0" w:evenVBand="0" w:oddHBand="1" w:evenHBand="0" w:firstRowFirstColumn="0" w:firstRowLastColumn="0" w:lastRowFirstColumn="0" w:lastRowLastColumn="0"/>
        </w:trPr>
        <w:tc>
          <w:tcPr>
            <w:tcW w:w="5215"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Occupazione indiretta attivata in altri settori connessi all'indotto (effetto indiretto)</w:t>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n. Occupati</w:t>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645.540 </w:t>
            </w:r>
          </w:p>
        </w:tc>
      </w:tr>
      <w:tr>
        <w:trPr>
          <w:trHeight w:val="290" w:hRule="atLeast"/>
        </w:trPr>
        <w:tc>
          <w:tcPr>
            <w:tcW w:w="5215"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Occupazione totale aggiuntiva (effetto totale)</w:t>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n. Occupati</w:t>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1.825.543 </w:t>
            </w:r>
          </w:p>
        </w:tc>
      </w:tr>
      <w:tr>
        <w:trPr>
          <w:trHeight w:val="290" w:hRule="exact"/>
          <w:cnfStyle w:val="000000100000" w:firstRow="0" w:lastRow="0" w:firstColumn="0" w:lastColumn="0" w:oddVBand="0" w:evenVBand="0" w:oddHBand="1" w:evenHBand="0" w:firstRowFirstColumn="0" w:firstRowLastColumn="0" w:lastRowFirstColumn="0" w:lastRowLastColumn="0"/>
        </w:trPr>
        <w:tc>
          <w:tcPr>
            <w:tcW w:w="5215"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ED7D31" w:themeFill="accent2" w:val="clear"/>
          </w:tcPr>
          <w:p>
            <w:pPr>
              <w:pStyle w:val="Normal"/>
              <w:spacing w:lineRule="auto" w:line="240" w:before="0" w:after="0"/>
              <w:rPr>
                <w:rFonts w:ascii="Calibri" w:hAnsi="Calibri" w:eastAsia="Times New Roman" w:cs="Calibri"/>
                <w:b/>
                <w:b/>
                <w:bCs/>
                <w:color w:val="FFFFFF" w:themeColor="background1"/>
                <w:sz w:val="24"/>
                <w:szCs w:val="24"/>
                <w:lang w:eastAsia="it-IT"/>
              </w:rPr>
            </w:pPr>
            <w:r>
              <w:rPr>
                <w:rFonts w:eastAsia="Times New Roman" w:cs="Calibri" w:ascii="Calibri" w:hAnsi="Calibri"/>
                <w:b/>
                <w:bCs/>
                <w:color w:val="FFFFFF" w:themeColor="background1"/>
                <w:sz w:val="24"/>
                <w:szCs w:val="24"/>
                <w:lang w:eastAsia="it-IT"/>
              </w:rPr>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Times New Roman"/>
                <w:color w:val="FFFFFF" w:themeColor="background1"/>
                <w:sz w:val="24"/>
                <w:szCs w:val="24"/>
                <w:lang w:eastAsia="it-IT"/>
              </w:rPr>
            </w:pPr>
            <w:r>
              <w:rPr>
                <w:rFonts w:eastAsia="Times New Roman" w:cs="Times New Roman" w:ascii="Calibri" w:hAnsi="Calibri"/>
                <w:color w:val="FFFFFF" w:themeColor="background1"/>
                <w:sz w:val="24"/>
                <w:szCs w:val="24"/>
                <w:lang w:eastAsia="it-IT"/>
              </w:rPr>
            </w:r>
          </w:p>
        </w:tc>
      </w:tr>
      <w:tr>
        <w:trPr>
          <w:trHeight w:val="290" w:hRule="atLeast"/>
        </w:trPr>
        <w:tc>
          <w:tcPr>
            <w:tcW w:w="5215" w:type="dxa"/>
            <w:cnfStyle w:val="001000000000" w:firstRow="0" w:lastRow="0" w:firstColumn="1" w:lastColumn="0" w:oddVBand="0" w:evenVBand="0" w:oddHBand="0" w:evenHBand="0" w:firstRowFirstColumn="0" w:firstRowLastColumn="0" w:lastRowFirstColumn="0" w:lastRowLastColumn="0"/>
            <w:tcBorders>
              <w:right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 xml:space="preserve">Gettito fiscale diretto </w:t>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FFFFFF" w:themeColor="background1"/>
                <w:sz w:val="24"/>
                <w:szCs w:val="24"/>
                <w:lang w:eastAsia="it-IT"/>
              </w:rPr>
            </w:pPr>
            <w:r>
              <w:rPr>
                <w:rFonts w:eastAsia="Times New Roman" w:cs="Calibri" w:ascii="Calibri" w:hAnsi="Calibri"/>
                <w:color w:val="FFFFFF" w:themeColor="background1"/>
                <w:sz w:val="24"/>
                <w:szCs w:val="24"/>
                <w:lang w:eastAsia="it-IT"/>
              </w:rPr>
            </w:r>
          </w:p>
        </w:tc>
        <w:tc>
          <w:tcPr>
            <w:tcW w:w="2410" w:type="dxa"/>
            <w:tcBorders/>
            <w:shd w:color="auto" w:fill="ED7D31" w:themeFill="accent2" w:val="clear"/>
            <w:tcMar>
              <w:left w:w="138" w:type="dxa"/>
            </w:tcM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40.593.128.286,32 </w:t>
            </w:r>
          </w:p>
        </w:tc>
      </w:tr>
      <w:tr>
        <w:trPr>
          <w:trHeight w:val="290" w:hRule="atLeast"/>
          <w:cnfStyle w:val="000000100000" w:firstRow="0" w:lastRow="0" w:firstColumn="0" w:lastColumn="0" w:oddVBand="0" w:evenVBand="0" w:oddHBand="1" w:evenHBand="0" w:firstRowFirstColumn="0" w:firstRowLastColumn="0" w:lastRowFirstColumn="0" w:lastRowLastColumn="0"/>
        </w:trPr>
        <w:tc>
          <w:tcPr>
            <w:tcW w:w="5215"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FFFFFF"/>
              <w:right w:val="single" w:sz="4" w:space="0" w:color="FFFFFF"/>
              <w:insideH w:val="single" w:sz="4" w:space="0" w:color="FFFFFF"/>
              <w:insideV w:val="single" w:sz="4" w:space="0" w:color="FFFFFF"/>
            </w:tcBorders>
            <w:shd w:color="auto" w:fill="ED7D31" w:themeFill="accent2" w:val="clear"/>
          </w:tcPr>
          <w:p>
            <w:pPr>
              <w:pStyle w:val="Normal"/>
              <w:spacing w:lineRule="auto" w:line="240" w:before="0" w:after="0"/>
              <w:rPr>
                <w:rFonts w:ascii="Calibri" w:hAnsi="Calibri"/>
                <w:sz w:val="24"/>
                <w:szCs w:val="24"/>
              </w:rPr>
            </w:pPr>
            <w:r>
              <w:rPr>
                <w:rFonts w:eastAsia="Times New Roman" w:cs="Calibri" w:ascii="Calibri" w:hAnsi="Calibri"/>
                <w:b/>
                <w:bCs/>
                <w:color w:val="000000"/>
                <w:sz w:val="24"/>
                <w:szCs w:val="24"/>
                <w:lang w:eastAsia="it-IT"/>
              </w:rPr>
              <w:t xml:space="preserve">Disavanzo Stato totale </w:t>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FFFFFF" w:themeColor="background1"/>
                <w:sz w:val="24"/>
                <w:szCs w:val="24"/>
                <w:lang w:eastAsia="it-IT"/>
              </w:rPr>
            </w:pPr>
            <w:r>
              <w:rPr>
                <w:rFonts w:eastAsia="Times New Roman" w:cs="Calibri" w:ascii="Calibri" w:hAnsi="Calibri"/>
                <w:color w:val="FFFFFF" w:themeColor="background1"/>
                <w:sz w:val="24"/>
                <w:szCs w:val="24"/>
                <w:lang w:eastAsia="it-IT"/>
              </w:rPr>
            </w:r>
          </w:p>
        </w:tc>
        <w:tc>
          <w:tcPr>
            <w:tcW w:w="2410" w:type="dxa"/>
            <w:tcBorders>
              <w:top w:val="single" w:sz="4" w:space="0" w:color="FFFFFF"/>
              <w:bottom w:val="single" w:sz="4" w:space="0" w:color="FFFFFF"/>
              <w:insideH w:val="single" w:sz="4" w:space="0" w:color="FFFFFF"/>
            </w:tcBorders>
            <w:shd w:color="auto" w:fill="ED7D31" w:themeFill="accent2" w:val="clear"/>
            <w:tcMar>
              <w:left w:w="138" w:type="dxa"/>
            </w:tcM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eastAsia="Times New Roman" w:cs="Calibri" w:ascii="Calibri" w:hAnsi="Calibri"/>
                <w:color w:val="000000"/>
                <w:sz w:val="24"/>
                <w:szCs w:val="24"/>
                <w:lang w:eastAsia="it-IT"/>
              </w:rPr>
              <w:t xml:space="preserve">          </w:t>
            </w:r>
            <w:r>
              <w:rPr>
                <w:rFonts w:eastAsia="Times New Roman" w:cs="Calibri" w:ascii="Calibri" w:hAnsi="Calibri"/>
                <w:color w:val="000000"/>
                <w:sz w:val="24"/>
                <w:szCs w:val="24"/>
                <w:lang w:eastAsia="it-IT"/>
              </w:rPr>
              <w:t xml:space="preserve">-66.406.000.000 </w:t>
            </w:r>
          </w:p>
        </w:tc>
      </w:tr>
    </w:tbl>
    <w:p>
      <w:pPr>
        <w:pStyle w:val="Normal"/>
        <w:jc w:val="both"/>
        <w:rPr>
          <w:rFonts w:ascii="Calibri" w:hAnsi="Calibri"/>
          <w:sz w:val="24"/>
          <w:szCs w:val="24"/>
        </w:rPr>
      </w:pPr>
      <w:r>
        <w:rPr>
          <w:rFonts w:ascii="Calibri" w:hAnsi="Calibri"/>
          <w:sz w:val="24"/>
          <w:szCs w:val="24"/>
        </w:rPr>
        <w:t>Fonte: elaborazione Centro Studi CNI su dati Enea, Agenzia delle Entrate, Def 2023, Istat</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Vale la pena, ancora una volta di soffermarsi sul fatto che </w:t>
      </w:r>
      <w:r>
        <w:rPr>
          <w:rFonts w:ascii="Calibri" w:hAnsi="Calibri"/>
          <w:b/>
          <w:bCs/>
          <w:sz w:val="24"/>
          <w:szCs w:val="24"/>
        </w:rPr>
        <w:t>il gettito fiscale fino ad oggi generato dalle opere</w:t>
      </w:r>
      <w:r>
        <w:rPr>
          <w:rFonts w:ascii="Calibri" w:hAnsi="Calibri"/>
          <w:sz w:val="24"/>
          <w:szCs w:val="24"/>
        </w:rPr>
        <w:t xml:space="preserve"> di ristrutturazione potrebbe attestarsi intorno ai </w:t>
      </w:r>
      <w:r>
        <w:rPr>
          <w:rFonts w:ascii="Calibri" w:hAnsi="Calibri"/>
          <w:b/>
          <w:bCs/>
          <w:sz w:val="24"/>
          <w:szCs w:val="24"/>
        </w:rPr>
        <w:t>40 miliardi</w:t>
      </w:r>
      <w:r>
        <w:rPr>
          <w:rFonts w:ascii="Calibri" w:hAnsi="Calibri"/>
          <w:sz w:val="24"/>
          <w:szCs w:val="24"/>
        </w:rPr>
        <w:t xml:space="preserve"> (calcolati secondo criteri prudenziali), che porterebbero in via teorica </w:t>
      </w:r>
      <w:r>
        <w:rPr>
          <w:rFonts w:ascii="Calibri" w:hAnsi="Calibri"/>
          <w:b/>
          <w:bCs/>
          <w:sz w:val="24"/>
          <w:szCs w:val="24"/>
        </w:rPr>
        <w:t xml:space="preserve">il disavanzo dello Stato dai 107 miliardi ad un valore di 66 miliardi </w:t>
      </w:r>
      <w:r>
        <w:rPr>
          <w:rFonts w:ascii="Calibri" w:hAnsi="Calibri"/>
          <w:sz w:val="24"/>
          <w:szCs w:val="24"/>
        </w:rPr>
        <w:t>(107 miliardi di spesa da cui vengono sottratti 40,5 miliardi di gettito fiscale stimato).</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b/>
          <w:b/>
          <w:bCs/>
          <w:sz w:val="24"/>
          <w:szCs w:val="24"/>
        </w:rPr>
      </w:pPr>
      <w:r>
        <w:rPr>
          <w:rFonts w:ascii="Calibri" w:hAnsi="Calibri"/>
          <w:b/>
          <w:bCs/>
          <w:sz w:val="24"/>
          <w:szCs w:val="24"/>
        </w:rPr>
        <w:t xml:space="preserve">Queste simulazioni servono solo a mettere in evidenza </w:t>
      </w:r>
      <w:r>
        <w:rPr>
          <w:rFonts w:ascii="Calibri" w:hAnsi="Calibri"/>
          <w:b/>
          <w:bCs/>
          <w:i/>
          <w:iCs/>
          <w:sz w:val="24"/>
          <w:szCs w:val="24"/>
        </w:rPr>
        <w:t>che l’impatto dei Superbonus dovrebbe essere analizzato con una prospettiva più ampia</w:t>
      </w:r>
      <w:r>
        <w:rPr>
          <w:rFonts w:ascii="Calibri" w:hAnsi="Calibri"/>
          <w:b/>
          <w:bCs/>
          <w:sz w:val="24"/>
          <w:szCs w:val="24"/>
        </w:rPr>
        <w:t xml:space="preserve"> rispetto a quella che considera esclusivamente il peso del disavanzo generato da questo tipo di incentivi.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Il Centro Studi CNI stima che la spesa, ad oggi totalizzata, di 86 miliardi per Super ecobonus </w:t>
      </w:r>
      <w:r>
        <w:rPr>
          <w:rFonts w:ascii="Calibri" w:hAnsi="Calibri"/>
          <w:b/>
          <w:bCs/>
          <w:sz w:val="24"/>
          <w:szCs w:val="24"/>
        </w:rPr>
        <w:t>abbiano consentito di risparmiare quasi 16.000 Gwh/anno pari a 1,4 miliardi di metri cubi standard di gas.</w:t>
      </w:r>
    </w:p>
    <w:p>
      <w:pPr>
        <w:pStyle w:val="Normal"/>
        <w:jc w:val="both"/>
        <w:rPr>
          <w:b/>
          <w:b/>
          <w:bCs/>
        </w:rPr>
      </w:pPr>
      <w:r>
        <w:rPr>
          <w:b/>
          <w:bCs/>
        </w:rPr>
      </w:r>
    </w:p>
    <w:p>
      <w:pPr>
        <w:pStyle w:val="Normal"/>
        <w:jc w:val="center"/>
        <w:rPr>
          <w:rFonts w:ascii="Calibri" w:hAnsi="Calibri"/>
          <w:sz w:val="24"/>
          <w:szCs w:val="24"/>
        </w:rPr>
      </w:pPr>
      <w:r>
        <w:rPr/>
        <w:drawing>
          <wp:inline distT="0" distB="0" distL="0" distR="0">
            <wp:extent cx="5552440" cy="2252980"/>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jc w:val="both"/>
        <w:rPr>
          <w:rFonts w:ascii="Calibri" w:hAnsi="Calibri"/>
          <w:sz w:val="24"/>
          <w:szCs w:val="24"/>
        </w:rPr>
      </w:pPr>
      <w:r>
        <w:rPr>
          <w:rFonts w:ascii="Calibri" w:hAnsi="Calibri"/>
          <w:sz w:val="24"/>
          <w:szCs w:val="24"/>
        </w:rPr>
        <w:t>Fonte: elaborazione Centro Studi CNI su dati Enea</w:t>
      </w:r>
    </w:p>
    <w:p>
      <w:pPr>
        <w:pStyle w:val="Normal"/>
        <w:jc w:val="both"/>
        <w:rPr>
          <w:rFonts w:ascii="Calibri" w:hAnsi="Calibri"/>
          <w:sz w:val="24"/>
          <w:szCs w:val="24"/>
        </w:rPr>
      </w:pPr>
      <w:r>
        <w:rPr>
          <w:rFonts w:ascii="Calibri" w:hAnsi="Calibri"/>
          <w:sz w:val="24"/>
          <w:szCs w:val="24"/>
        </w:rPr>
      </w:r>
    </w:p>
    <w:p>
      <w:pPr>
        <w:pStyle w:val="Normal"/>
        <w:jc w:val="both"/>
        <w:rPr/>
      </w:pPr>
      <w:r>
        <w:rPr>
          <w:rFonts w:ascii="Calibri" w:hAnsi="Calibri"/>
          <w:b/>
          <w:bCs/>
          <w:sz w:val="24"/>
          <w:szCs w:val="24"/>
        </w:rPr>
        <w:t>Si tratta di un livello di risparmio cospicuo.</w:t>
      </w:r>
      <w:r>
        <w:rPr>
          <w:rFonts w:ascii="Calibri" w:hAnsi="Calibri"/>
          <w:sz w:val="24"/>
          <w:szCs w:val="24"/>
        </w:rPr>
        <w:t xml:space="preserve"> Il Governo, in presenza della crisi energetica iniziata lo scorso anno, si era posto di attuare un piano finalizzato ad un risparmio di gas in ambito residenziale per 2,6 miliardi di metri cubi standard nella stagione invernale 2022-2023. E’ come se il Super ecobonus avesse contribuito a realizzare </w:t>
      </w:r>
      <w:r>
        <w:rPr>
          <w:rFonts w:ascii="Calibri" w:hAnsi="Calibri"/>
          <w:b/>
          <w:bCs/>
          <w:sz w:val="24"/>
          <w:szCs w:val="24"/>
        </w:rPr>
        <w:t>il 54% di tale minor consumo di gas</w:t>
      </w:r>
      <w:r>
        <w:rPr>
          <w:rFonts w:ascii="Calibri" w:hAnsi="Calibri"/>
          <w:sz w:val="24"/>
          <w:szCs w:val="24"/>
        </w:rPr>
        <w:t>.</w:t>
      </w:r>
    </w:p>
    <w:p>
      <w:pPr>
        <w:pStyle w:val="Normal"/>
        <w:jc w:val="both"/>
        <w:rPr>
          <w:rFonts w:ascii="Calibri" w:hAnsi="Calibri"/>
          <w:sz w:val="24"/>
          <w:szCs w:val="24"/>
        </w:rPr>
      </w:pPr>
      <w:r>
        <w:rPr/>
      </w:r>
    </w:p>
    <w:p>
      <w:pPr>
        <w:pStyle w:val="Normal"/>
        <w:jc w:val="both"/>
        <w:rPr>
          <w:rFonts w:ascii="Calibri" w:hAnsi="Calibri"/>
          <w:sz w:val="24"/>
          <w:szCs w:val="24"/>
        </w:rPr>
      </w:pPr>
      <w:r>
        <w:rPr/>
      </w:r>
    </w:p>
    <w:p>
      <w:pPr>
        <w:pStyle w:val="Normal"/>
        <w:rPr>
          <w:rFonts w:ascii="Calibri" w:hAnsi="Calibri"/>
        </w:rPr>
      </w:pPr>
      <w:r>
        <w:rPr>
          <w:rFonts w:cs="" w:ascii="Calibri" w:hAnsi="Calibri" w:cstheme="minorHAnsi"/>
          <w:b w:val="false"/>
          <w:bCs w:val="false"/>
          <w:sz w:val="24"/>
          <w:szCs w:val="24"/>
        </w:rPr>
        <w:t xml:space="preserve">Fondazione Consiglio Nazionale Ingegneri </w:t>
      </w:r>
    </w:p>
    <w:p>
      <w:pPr>
        <w:pStyle w:val="Normal"/>
        <w:rPr>
          <w:rFonts w:ascii="Calibri" w:hAnsi="Calibri"/>
        </w:rPr>
      </w:pPr>
      <w:r>
        <w:rPr>
          <w:rFonts w:cs="" w:ascii="Calibri" w:hAnsi="Calibri" w:cstheme="minorHAnsi"/>
          <w:b w:val="false"/>
          <w:bCs w:val="false"/>
          <w:sz w:val="24"/>
          <w:szCs w:val="24"/>
        </w:rPr>
        <w:t xml:space="preserve">Ufficio stampa Antonio Felici - 3478761540 </w:t>
      </w:r>
    </w:p>
    <w:p>
      <w:pPr>
        <w:pStyle w:val="Normal"/>
        <w:rPr>
          <w:rFonts w:ascii="Calibri" w:hAnsi="Calibri"/>
        </w:rPr>
      </w:pPr>
      <w:r>
        <w:rPr>
          <w:rFonts w:cs="" w:ascii="Calibri" w:hAnsi="Calibri" w:cstheme="minorHAnsi"/>
          <w:b w:val="false"/>
          <w:bCs w:val="false"/>
          <w:sz w:val="24"/>
          <w:szCs w:val="24"/>
        </w:rPr>
        <w:t xml:space="preserve">Via XX Settembre 5, 00187 Roma </w:t>
      </w:r>
    </w:p>
    <w:p>
      <w:pPr>
        <w:pStyle w:val="Normal"/>
        <w:jc w:val="both"/>
        <w:rPr>
          <w:rFonts w:ascii="Calibri" w:hAnsi="Calibri"/>
        </w:rPr>
      </w:pPr>
      <w:r>
        <w:rPr>
          <w:rFonts w:cs="" w:ascii="Calibri" w:hAnsi="Calibri" w:cstheme="minorHAnsi"/>
          <w:b w:val="false"/>
          <w:bCs w:val="false"/>
          <w:sz w:val="24"/>
          <w:szCs w:val="24"/>
        </w:rPr>
        <w:t>Tel. 06.85.35.47.39 - Fax. 06.84.24.18.00</w:t>
      </w:r>
    </w:p>
    <w:p>
      <w:pPr>
        <w:pStyle w:val="Normal"/>
        <w:jc w:val="both"/>
        <w:rPr>
          <w:rFonts w:ascii="Calibri" w:hAnsi="Calibri"/>
          <w:sz w:val="24"/>
          <w:szCs w:val="24"/>
        </w:rPr>
      </w:pPr>
      <w:r>
        <w:rPr>
          <w:rFonts w:ascii="Calibri" w:hAnsi="Calibri"/>
          <w:sz w:val="24"/>
          <w:szCs w:val="24"/>
        </w:rPr>
      </w:r>
    </w:p>
    <w:p>
      <w:pPr>
        <w:pStyle w:val="Normal"/>
        <w:jc w:val="both"/>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rStyle w:val="Footnotereference"/>
        </w:rPr>
        <w:tab/>
      </w:r>
      <w:r>
        <w:rPr/>
        <w:t xml:space="preserve"> Al contrario di ciò che accade per la spesa relativa al Super ecobonus, per la quale l’Enea produce un monitoraggio mensile, nulla si simile è disponibile per il Super sismabonus. Ad aprile 2023 l’Agenzia delle Entrate ha comunicato, in sede di audizione presso la VI Commissione Finanze della Camera dei Deputati, che la spesa per Super sismabonus per la quale i proprietari di immobile avevano proceduto alla cessione del credito ammontava a 13,4 miliardi di euro. Tale valore però è solo una quota parte del totale.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kern w:val="2"/>
      <w:sz w:val="24"/>
      <w:szCs w:val="24"/>
      <w:lang w:val="it-IT" w:eastAsia="zh-CN" w:bidi="hi-IN"/>
    </w:rPr>
  </w:style>
  <w:style w:type="character" w:styleId="ListLabel13">
    <w:name w:val="ListLabel 13"/>
    <w:qFormat/>
    <w:rPr>
      <w:rFonts w:cs="Calibri"/>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22">
    <w:name w:val="ListLabel 22"/>
    <w:qFormat/>
    <w:rPr>
      <w:rFonts w:ascii="Calibri" w:hAnsi="Calibri" w:cs="Calibri"/>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qFormat/>
    <w:pPr>
      <w:spacing w:before="0" w:after="160"/>
      <w:ind w:left="720" w:hanging="0"/>
      <w:contextualSpacing/>
    </w:pPr>
    <w:rPr/>
  </w:style>
  <w:style w:type="paragraph" w:styleId="Notaapidipagina">
    <w:name w:val="Footnote Text"/>
    <w:basedOn w:val="Normal"/>
    <w:pPr>
      <w:suppressLineNumbers/>
      <w:ind w:left="339" w:hanging="339"/>
    </w:pPr>
    <w:rPr>
      <w:sz w:val="20"/>
      <w:szCs w:val="20"/>
    </w:rPr>
  </w:style>
  <w:style w:type="paragraph" w:styleId="Footnotetext">
    <w:name w:val="footnote text"/>
    <w:basedOn w:val="Normal"/>
    <w:qFormat/>
    <w:pPr>
      <w:spacing w:lineRule="auto" w:line="240" w:before="0" w:after="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chart" Target="charts/chart1.xml"/><Relationship Id="rId4" Type="http://schemas.openxmlformats.org/officeDocument/2006/relationships/image" Target="media/image2.png"/><Relationship Id="rId5" Type="http://schemas.openxmlformats.org/officeDocument/2006/relationships/chart" Target="charts/chart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200" spc="-1" strike="noStrike">
                <a:solidFill>
                  <a:srgbClr val="595959"/>
                </a:solidFill>
                <a:latin typeface="Calibri"/>
              </a:defRPr>
            </a:pPr>
            <a:r>
              <a:rPr b="0" sz="1200" spc="-1" strike="noStrike">
                <a:solidFill>
                  <a:srgbClr val="595959"/>
                </a:solidFill>
                <a:latin typeface="Calibri"/>
              </a:rPr>
              <a:t>Spesa per opere di ristrutturazione realizzate con Superbonus nel periodo ago. 2020 - ago- 2023</a:t>
            </a:r>
          </a:p>
        </c:rich>
      </c:tx>
      <c:overlay val="0"/>
    </c:title>
    <c:autoTitleDeleted val="0"/>
    <c:plotArea>
      <c:barChart>
        <c:barDir val="col"/>
        <c:grouping val="clustered"/>
        <c:varyColors val="0"/>
        <c:ser>
          <c:idx val="0"/>
          <c:order val="0"/>
          <c:tx>
            <c:strRef>
              <c:f>label 0</c:f>
              <c:strCache>
                <c:ptCount val="1"/>
                <c:pt idx="0">
                  <c:v/>
                </c:pt>
              </c:strCache>
            </c:strRef>
          </c:tx>
          <c:spPr>
            <a:solidFill>
              <a:srgbClr val="c00000"/>
            </a:solidFill>
            <a:ln>
              <a:noFill/>
            </a:ln>
          </c:spPr>
          <c:invertIfNegative val="0"/>
          <c:dLbls>
            <c:dLblPos val="outEnd"/>
            <c:showLegendKey val="0"/>
            <c:showVal val="1"/>
            <c:showCatName val="0"/>
            <c:showSerName val="0"/>
            <c:showPercent val="0"/>
            <c:showLeaderLines val="0"/>
          </c:dLbls>
          <c:cat>
            <c:strRef>
              <c:f>categories</c:f>
              <c:strCache>
                <c:ptCount val="3"/>
                <c:pt idx="0">
                  <c:v>Spesa per Super ecobonus ago. 2020 - ago. 2023</c:v>
                </c:pt>
                <c:pt idx="1">
                  <c:v>Stima spesa per Super sismabonus ago. 2020 - ago. 2023</c:v>
                </c:pt>
                <c:pt idx="2">
                  <c:v>Totale spesa Superbonus ago. 2020 - ago. 2023</c:v>
                </c:pt>
              </c:strCache>
            </c:strRef>
          </c:cat>
          <c:val>
            <c:numRef>
              <c:f>0</c:f>
              <c:numCache>
                <c:formatCode>General</c:formatCode>
                <c:ptCount val="3"/>
                <c:pt idx="0">
                  <c:v>86.3</c:v>
                </c:pt>
                <c:pt idx="1">
                  <c:v>25</c:v>
                </c:pt>
                <c:pt idx="2">
                  <c:v>111.3</c:v>
                </c:pt>
              </c:numCache>
            </c:numRef>
          </c:val>
        </c:ser>
        <c:gapWidth val="219"/>
        <c:overlap val="-27"/>
        <c:axId val="1053808"/>
        <c:axId val="90527144"/>
      </c:barChart>
      <c:catAx>
        <c:axId val="1053808"/>
        <c:scaling>
          <c:orientation val="minMax"/>
        </c:scaling>
        <c:delete val="0"/>
        <c:axPos val="b"/>
        <c:numFmt formatCode="MM/DD/YYYY" sourceLinked="1"/>
        <c:majorTickMark val="none"/>
        <c:minorTickMark val="none"/>
        <c:tickLblPos val="nextTo"/>
        <c:spPr>
          <a:ln w="9360">
            <a:solidFill>
              <a:srgbClr val="d9d9d9"/>
            </a:solidFill>
            <a:round/>
          </a:ln>
        </c:spPr>
        <c:txPr>
          <a:bodyPr/>
          <a:p>
            <a:pPr>
              <a:defRPr b="0" sz="900" spc="-1" strike="noStrike">
                <a:solidFill>
                  <a:srgbClr val="595959"/>
                </a:solidFill>
                <a:latin typeface="Calibri"/>
              </a:defRPr>
            </a:pPr>
          </a:p>
        </c:txPr>
        <c:crossAx val="90527144"/>
        <c:crosses val="autoZero"/>
        <c:auto val="1"/>
        <c:lblAlgn val="ctr"/>
        <c:lblOffset val="100"/>
      </c:catAx>
      <c:valAx>
        <c:axId val="90527144"/>
        <c:scaling>
          <c:orientation val="minMax"/>
        </c:scaling>
        <c:delete val="1"/>
        <c:axPos val="l"/>
        <c:numFmt formatCode="General" sourceLinked="0"/>
        <c:majorTickMark val="none"/>
        <c:minorTickMark val="none"/>
        <c:tickLblPos val="nextTo"/>
        <c:spPr>
          <a:ln w="6480">
            <a:solidFill>
              <a:srgbClr val="8b8b8b"/>
            </a:solidFill>
            <a:round/>
          </a:ln>
        </c:spPr>
        <c:txPr>
          <a:bodyPr/>
          <a:p>
            <a:pPr>
              <a:defRPr b="0" sz="1000" spc="-1" strike="noStrike">
                <a:solidFill>
                  <a:srgbClr val="000000"/>
                </a:solidFill>
                <a:latin typeface="Calibri"/>
              </a:defRPr>
            </a:pPr>
          </a:p>
        </c:txPr>
        <c:crossAx val="1053808"/>
        <c:crosses val="autoZero"/>
      </c:valAx>
      <c:spPr>
        <a:noFill/>
        <a:ln>
          <a:noFill/>
        </a:ln>
      </c:spPr>
    </c:plotArea>
    <c:plotVisOnly val="1"/>
    <c:dispBlanksAs val="gap"/>
  </c:chart>
  <c:spPr>
    <a:solidFill>
      <a:srgbClr val="ffffff"/>
    </a:solidFill>
    <a:ln w="936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200" spc="-1" strike="noStrike">
                <a:solidFill>
                  <a:srgbClr val="595959"/>
                </a:solidFill>
                <a:latin typeface="Calibri"/>
              </a:defRPr>
            </a:pPr>
            <a:r>
              <a:rPr b="0" sz="1200" spc="-1" strike="noStrike">
                <a:solidFill>
                  <a:srgbClr val="595959"/>
                </a:solidFill>
                <a:latin typeface="Calibri"/>
              </a:rPr>
              <a:t>Spesa Super ecobonus e stima del risparmio energetico ottenuto. Stima per il periodo ago. 2020 - ago. 2023</a:t>
            </a:r>
          </a:p>
        </c:rich>
      </c:tx>
      <c:overlay val="0"/>
    </c:title>
    <c:autoTitleDeleted val="0"/>
    <c:plotArea>
      <c:barChart>
        <c:barDir val="col"/>
        <c:grouping val="clustered"/>
        <c:varyColors val="0"/>
        <c:ser>
          <c:idx val="0"/>
          <c:order val="0"/>
          <c:tx>
            <c:strRef>
              <c:f>label 0</c:f>
              <c:strCache>
                <c:ptCount val="1"/>
                <c:pt idx="0">
                  <c:v/>
                </c:pt>
              </c:strCache>
            </c:strRef>
          </c:tx>
          <c:spPr>
            <a:solidFill>
              <a:srgbClr val="c00000"/>
            </a:solidFill>
            <a:ln>
              <a:solidFill>
                <a:srgbClr val="c00000"/>
              </a:solidFill>
            </a:ln>
          </c:spPr>
          <c:invertIfNegative val="0"/>
          <c:dLbls>
            <c:dLblPos val="outEnd"/>
            <c:showLegendKey val="0"/>
            <c:showVal val="1"/>
            <c:showCatName val="0"/>
            <c:showSerName val="0"/>
            <c:showPercent val="0"/>
            <c:showLeaderLines val="0"/>
          </c:dLbls>
          <c:cat>
            <c:strRef>
              <c:f>categories</c:f>
              <c:strCache>
                <c:ptCount val="3"/>
                <c:pt idx="0">
                  <c:v>Spesa Super ecobonus ago.2020-ago. 2023 (in mld. Euro)</c:v>
                </c:pt>
                <c:pt idx="1">
                  <c:v> Stima risparmio energetico realizzato con Super ecobonus ago. 2020-marzo 2023, Gwh/anno</c:v>
                </c:pt>
                <c:pt idx="2">
                  <c:v>Stima risparmio energetico da Super ecobonus in mcs gas (milioni di mcs)</c:v>
                </c:pt>
              </c:strCache>
            </c:strRef>
          </c:cat>
          <c:val>
            <c:numRef>
              <c:f>0</c:f>
              <c:numCache>
                <c:formatCode>General</c:formatCode>
                <c:ptCount val="3"/>
                <c:pt idx="0">
                  <c:v>86346</c:v>
                </c:pt>
                <c:pt idx="1">
                  <c:v>15932</c:v>
                </c:pt>
                <c:pt idx="2">
                  <c:v>1456</c:v>
                </c:pt>
              </c:numCache>
            </c:numRef>
          </c:val>
        </c:ser>
        <c:gapWidth val="219"/>
        <c:overlap val="-27"/>
        <c:axId val="77366084"/>
        <c:axId val="40946108"/>
      </c:barChart>
      <c:catAx>
        <c:axId val="77366084"/>
        <c:scaling>
          <c:orientation val="minMax"/>
        </c:scaling>
        <c:delete val="0"/>
        <c:axPos val="b"/>
        <c:numFmt formatCode="MM/DD/YYYY" sourceLinked="1"/>
        <c:majorTickMark val="none"/>
        <c:minorTickMark val="none"/>
        <c:tickLblPos val="nextTo"/>
        <c:spPr>
          <a:ln w="9360">
            <a:solidFill>
              <a:srgbClr val="d9d9d9"/>
            </a:solidFill>
            <a:round/>
          </a:ln>
        </c:spPr>
        <c:txPr>
          <a:bodyPr/>
          <a:p>
            <a:pPr>
              <a:defRPr b="0" sz="900" spc="-1" strike="noStrike">
                <a:solidFill>
                  <a:srgbClr val="595959"/>
                </a:solidFill>
                <a:latin typeface="Calibri"/>
              </a:defRPr>
            </a:pPr>
          </a:p>
        </c:txPr>
        <c:crossAx val="40946108"/>
        <c:crosses val="autoZero"/>
        <c:auto val="1"/>
        <c:lblAlgn val="ctr"/>
        <c:lblOffset val="100"/>
      </c:catAx>
      <c:valAx>
        <c:axId val="40946108"/>
        <c:scaling>
          <c:logBase val="10"/>
          <c:orientation val="minMax"/>
        </c:scaling>
        <c:delete val="1"/>
        <c:axPos val="l"/>
        <c:numFmt formatCode="\ * #,##0\ ;\-* #,##0\ ;\ * \-#\ ;\ @\ " sourceLinked="0"/>
        <c:majorTickMark val="none"/>
        <c:minorTickMark val="none"/>
        <c:tickLblPos val="nextTo"/>
        <c:spPr>
          <a:ln w="6480">
            <a:solidFill>
              <a:srgbClr val="8b8b8b"/>
            </a:solidFill>
            <a:round/>
          </a:ln>
        </c:spPr>
        <c:txPr>
          <a:bodyPr/>
          <a:p>
            <a:pPr>
              <a:defRPr b="0" sz="1000" spc="-1" strike="noStrike">
                <a:solidFill>
                  <a:srgbClr val="000000"/>
                </a:solidFill>
                <a:latin typeface="Calibri"/>
              </a:defRPr>
            </a:pPr>
          </a:p>
        </c:txPr>
        <c:crossAx val="77366084"/>
        <c:crosses val="autoZero"/>
      </c:valAx>
      <c:spPr>
        <a:noFill/>
        <a:ln>
          <a:noFill/>
        </a:ln>
      </c:spPr>
    </c:plotArea>
    <c:plotVisOnly val="1"/>
    <c:dispBlanksAs val="gap"/>
  </c:chart>
  <c:spPr>
    <a:solidFill>
      <a:srgbClr val="ffffff"/>
    </a:solidFill>
    <a:ln w="9360">
      <a:noFill/>
    </a:ln>
  </c:spPr>
</c:chartSpace>
</file>

<file path=docProps/app.xml><?xml version="1.0" encoding="utf-8"?>
<Properties xmlns="http://schemas.openxmlformats.org/officeDocument/2006/extended-properties" xmlns:vt="http://schemas.openxmlformats.org/officeDocument/2006/docPropsVTypes">
  <Template/>
  <TotalTime>12</TotalTime>
  <Application>LibreOffice/5.4.3.2$Windows_X86_64 LibreOffice_project/92a7159f7e4af62137622921e809f8546db437e5</Application>
  <Pages>6</Pages>
  <Words>1605</Words>
  <Characters>9188</Characters>
  <CharactersWithSpaces>11128</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2023-09-21T18:34:05Z</dcterms:created>
  <dc:creator/>
  <dc:description/>
  <dc:language>it-IT</dc:language>
  <cp:lastModifiedBy/>
  <cp:lastPrinted>2023-09-22T17:35:17Z</cp:lastPrinted>
  <dcterms:modified xsi:type="dcterms:W3CDTF">2023-09-22T17:39:25Z</dcterms:modified>
  <cp:revision>4</cp:revision>
  <dc:subject/>
  <dc:title/>
</cp:coreProperties>
</file>